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86A0E" w14:textId="77777777" w:rsidR="00B65A82" w:rsidRPr="00B65A82" w:rsidRDefault="00B65A82" w:rsidP="00B65A82">
      <w:pPr>
        <w:keepNext/>
        <w:keepLines/>
        <w:spacing w:line="240" w:lineRule="auto"/>
        <w:jc w:val="center"/>
        <w:outlineLvl w:val="0"/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</w:pPr>
      <w:r w:rsidRPr="00B65A82"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 xml:space="preserve">Technická specifikace </w:t>
      </w:r>
    </w:p>
    <w:p w14:paraId="2C698809" w14:textId="77777777" w:rsidR="00B65A82" w:rsidRPr="00B65A82" w:rsidRDefault="00B65A82" w:rsidP="00B65A82">
      <w:pPr>
        <w:tabs>
          <w:tab w:val="left" w:pos="567"/>
        </w:tabs>
        <w:spacing w:after="120" w:line="240" w:lineRule="auto"/>
        <w:jc w:val="center"/>
        <w:rPr>
          <w:rFonts w:eastAsia="Century Schoolbook" w:cs="Times New Roman"/>
          <w:b/>
          <w:color w:val="414751"/>
          <w:sz w:val="20"/>
          <w:szCs w:val="20"/>
          <w:lang w:eastAsia="cs-CZ"/>
        </w:rPr>
      </w:pPr>
      <w:r w:rsidRPr="00B65A82"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>Monitorovací technika pro Krajskou zdravotní a.s.</w:t>
      </w:r>
    </w:p>
    <w:p w14:paraId="3EB74DB5" w14:textId="47104A0C" w:rsidR="00944720" w:rsidRPr="00944720" w:rsidRDefault="00B65A82" w:rsidP="00B65A82">
      <w:pPr>
        <w:ind w:left="360"/>
        <w:contextualSpacing/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 w:bidi="he-IL"/>
        </w:rPr>
      </w:pPr>
      <w:r w:rsidRPr="00B65A82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 w:bidi="he-IL"/>
        </w:rPr>
        <w:t>Část</w:t>
      </w:r>
      <w: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 w:bidi="he-IL"/>
        </w:rPr>
        <w:t xml:space="preserve"> 5</w:t>
      </w:r>
      <w:r w:rsidRPr="00B65A82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 w:bidi="he-IL"/>
        </w:rPr>
        <w:t xml:space="preserve">: Monitorovací technika pro </w:t>
      </w:r>
      <w:r w:rsidR="00354A9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 w:bidi="he-IL"/>
        </w:rPr>
        <w:t>U</w:t>
      </w:r>
      <w: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 w:bidi="he-IL"/>
        </w:rPr>
        <w:t>rgentní příjem nemocnice Teplice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64064B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515265C5" w14:textId="77777777" w:rsidTr="0064064B">
        <w:trPr>
          <w:trHeight w:val="341"/>
        </w:trPr>
        <w:tc>
          <w:tcPr>
            <w:tcW w:w="1285" w:type="pct"/>
          </w:tcPr>
          <w:p w14:paraId="3C142003" w14:textId="6A90C065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CPV kód:</w:t>
            </w:r>
          </w:p>
        </w:tc>
        <w:tc>
          <w:tcPr>
            <w:tcW w:w="3715" w:type="pct"/>
          </w:tcPr>
          <w:p w14:paraId="6B1CF791" w14:textId="77777777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0"/>
        <w:gridCol w:w="1346"/>
        <w:gridCol w:w="1346"/>
        <w:gridCol w:w="1344"/>
      </w:tblGrid>
      <w:tr w:rsidR="00D8532C" w:rsidRPr="006760F4" w14:paraId="7E61C71C" w14:textId="38152FCA" w:rsidTr="00D8532C">
        <w:trPr>
          <w:trHeight w:val="300"/>
          <w:tblHeader/>
        </w:trPr>
        <w:tc>
          <w:tcPr>
            <w:tcW w:w="3021" w:type="pct"/>
            <w:shd w:val="clear" w:color="auto" w:fill="8DB3E2" w:themeFill="text2" w:themeFillTint="66"/>
            <w:vAlign w:val="center"/>
          </w:tcPr>
          <w:p w14:paraId="3060F376" w14:textId="77777777" w:rsidR="00D8532C" w:rsidRPr="006760F4" w:rsidRDefault="00D8532C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bookmarkStart w:id="0" w:name="_Hlk219119470"/>
            <w:r w:rsidRPr="006760F4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660" w:type="pct"/>
            <w:shd w:val="clear" w:color="auto" w:fill="8DB3E2" w:themeFill="text2" w:themeFillTint="66"/>
            <w:vAlign w:val="center"/>
          </w:tcPr>
          <w:p w14:paraId="1268B3FC" w14:textId="77777777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60" w:type="pct"/>
            <w:shd w:val="clear" w:color="auto" w:fill="8DB3E2" w:themeFill="text2" w:themeFillTint="66"/>
          </w:tcPr>
          <w:p w14:paraId="5F36CD8E" w14:textId="239C1C0A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Reálná nabízená hodnota*</w:t>
            </w:r>
          </w:p>
        </w:tc>
        <w:tc>
          <w:tcPr>
            <w:tcW w:w="659" w:type="pct"/>
            <w:shd w:val="clear" w:color="auto" w:fill="8DB3E2" w:themeFill="text2" w:themeFillTint="66"/>
          </w:tcPr>
          <w:p w14:paraId="1FD732E6" w14:textId="7064AFEC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Kde je uvedeno v nabídce**</w:t>
            </w:r>
          </w:p>
        </w:tc>
      </w:tr>
      <w:tr w:rsidR="00D8532C" w:rsidRPr="006760F4" w14:paraId="6D9390C3" w14:textId="1DC86538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1C8D2365" w14:textId="2C8EB430" w:rsidR="00D8532C" w:rsidRPr="006760F4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Obecné požadavky na </w:t>
            </w: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pacientský monitor</w:t>
            </w: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334A47F1" w14:textId="77777777" w:rsidR="00D8532C" w:rsidRPr="006A78C0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2BDFC9A5" w14:textId="77777777" w:rsidR="00D8532C" w:rsidRPr="006A78C0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1B1987AD" w14:textId="4347908A" w:rsidTr="00D8532C">
        <w:trPr>
          <w:trHeight w:val="113"/>
        </w:trPr>
        <w:tc>
          <w:tcPr>
            <w:tcW w:w="3021" w:type="pct"/>
            <w:vAlign w:val="center"/>
          </w:tcPr>
          <w:p w14:paraId="61E087A4" w14:textId="00BF3665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Přístroj s min. 12palcovou dotykovou obrazovkou, která je konfigurovatelná  </w:t>
            </w:r>
          </w:p>
        </w:tc>
        <w:tc>
          <w:tcPr>
            <w:tcW w:w="660" w:type="pct"/>
          </w:tcPr>
          <w:p w14:paraId="7DC08E9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2F662E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B80D08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64C9728" w14:textId="07CDA9F0" w:rsidTr="00D8532C">
        <w:trPr>
          <w:trHeight w:val="113"/>
        </w:trPr>
        <w:tc>
          <w:tcPr>
            <w:tcW w:w="3021" w:type="pct"/>
            <w:vAlign w:val="center"/>
          </w:tcPr>
          <w:p w14:paraId="3D76A973" w14:textId="683D0834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Přednastavení monitoru pro min. 3 věkové kategorie (novorozenec, dítě, dospělý)</w:t>
            </w:r>
          </w:p>
        </w:tc>
        <w:tc>
          <w:tcPr>
            <w:tcW w:w="660" w:type="pct"/>
          </w:tcPr>
          <w:p w14:paraId="0C4F841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B07FD6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7FD01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382F524" w14:textId="4023F764" w:rsidTr="00D8532C">
        <w:trPr>
          <w:trHeight w:val="113"/>
        </w:trPr>
        <w:tc>
          <w:tcPr>
            <w:tcW w:w="3021" w:type="pct"/>
            <w:vAlign w:val="center"/>
          </w:tcPr>
          <w:p w14:paraId="434F8A3C" w14:textId="66A1D0BE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 minimálně 8 křivek současně</w:t>
            </w:r>
          </w:p>
        </w:tc>
        <w:tc>
          <w:tcPr>
            <w:tcW w:w="660" w:type="pct"/>
          </w:tcPr>
          <w:p w14:paraId="5D76FC2F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530FF0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ED6868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5B93E5C" w14:textId="46F3C2A8" w:rsidTr="00D8532C">
        <w:trPr>
          <w:trHeight w:val="113"/>
        </w:trPr>
        <w:tc>
          <w:tcPr>
            <w:tcW w:w="3021" w:type="pct"/>
            <w:vAlign w:val="center"/>
          </w:tcPr>
          <w:p w14:paraId="72031AAD" w14:textId="59910C15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Standardní sledování EKG, respirace, NIPB, SpO2, teplota, tepové frekvence, IBP</w:t>
            </w:r>
          </w:p>
        </w:tc>
        <w:tc>
          <w:tcPr>
            <w:tcW w:w="660" w:type="pct"/>
          </w:tcPr>
          <w:p w14:paraId="7C234C5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7343B6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07F8A2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652A461" w14:textId="07E42CA7" w:rsidTr="00D8532C">
        <w:trPr>
          <w:trHeight w:val="113"/>
        </w:trPr>
        <w:tc>
          <w:tcPr>
            <w:tcW w:w="3021" w:type="pct"/>
            <w:vAlign w:val="center"/>
          </w:tcPr>
          <w:p w14:paraId="0E9A3601" w14:textId="3B41E811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Monitorace EKG z 3, 5 a 12 svodů </w:t>
            </w:r>
          </w:p>
        </w:tc>
        <w:tc>
          <w:tcPr>
            <w:tcW w:w="660" w:type="pct"/>
          </w:tcPr>
          <w:p w14:paraId="4D166B0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D5E66C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791A96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E166CD2" w14:textId="0A1CD11A" w:rsidTr="00D8532C">
        <w:trPr>
          <w:trHeight w:val="113"/>
        </w:trPr>
        <w:tc>
          <w:tcPr>
            <w:tcW w:w="3021" w:type="pct"/>
            <w:vAlign w:val="center"/>
          </w:tcPr>
          <w:p w14:paraId="600C87EE" w14:textId="46CF05C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Parametr Delta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press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SPV/PPV</w:t>
            </w:r>
          </w:p>
        </w:tc>
        <w:tc>
          <w:tcPr>
            <w:tcW w:w="660" w:type="pct"/>
          </w:tcPr>
          <w:p w14:paraId="5BC7910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56D730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E8E8F8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49CDA52" w14:textId="0E246FDB" w:rsidTr="00D8532C">
        <w:trPr>
          <w:trHeight w:val="113"/>
        </w:trPr>
        <w:tc>
          <w:tcPr>
            <w:tcW w:w="3021" w:type="pct"/>
            <w:vAlign w:val="center"/>
          </w:tcPr>
          <w:p w14:paraId="0D5964C5" w14:textId="70E4B44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Propojení na centrální monitor </w:t>
            </w:r>
          </w:p>
        </w:tc>
        <w:tc>
          <w:tcPr>
            <w:tcW w:w="660" w:type="pct"/>
          </w:tcPr>
          <w:p w14:paraId="397BA10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7E0EF1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3E12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4D82790" w14:textId="0F42532B" w:rsidTr="00D8532C">
        <w:trPr>
          <w:trHeight w:val="113"/>
        </w:trPr>
        <w:tc>
          <w:tcPr>
            <w:tcW w:w="3021" w:type="pct"/>
            <w:vAlign w:val="center"/>
          </w:tcPr>
          <w:p w14:paraId="30703AF4" w14:textId="365DA4DC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Kompatibilní s nabízenou centrální monitorovací stanicí</w:t>
            </w:r>
          </w:p>
        </w:tc>
        <w:tc>
          <w:tcPr>
            <w:tcW w:w="660" w:type="pct"/>
          </w:tcPr>
          <w:p w14:paraId="5C9281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881EA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E7D4799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54769FD" w14:textId="2730B484" w:rsidTr="00D8532C">
        <w:trPr>
          <w:trHeight w:val="113"/>
        </w:trPr>
        <w:tc>
          <w:tcPr>
            <w:tcW w:w="3021" w:type="pct"/>
            <w:vAlign w:val="center"/>
          </w:tcPr>
          <w:p w14:paraId="43727EC7" w14:textId="748BA5BA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660" w:type="pct"/>
          </w:tcPr>
          <w:p w14:paraId="1A766C5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EFC92B5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289F03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C8C01AC" w14:textId="50D133AA" w:rsidTr="00D8532C">
        <w:trPr>
          <w:trHeight w:val="113"/>
        </w:trPr>
        <w:tc>
          <w:tcPr>
            <w:tcW w:w="3021" w:type="pct"/>
            <w:vAlign w:val="center"/>
          </w:tcPr>
          <w:p w14:paraId="0FB9E6A8" w14:textId="2F3C0037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Dobíjitelná baterie s kapacitou na min. </w:t>
            </w:r>
            <w:r w:rsidR="0032622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5 hodin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provozu při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výpadku el. sítě </w:t>
            </w:r>
            <w:r w:rsidR="0032622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a pro potřeby převozu pacienta</w:t>
            </w:r>
          </w:p>
        </w:tc>
        <w:tc>
          <w:tcPr>
            <w:tcW w:w="660" w:type="pct"/>
          </w:tcPr>
          <w:p w14:paraId="69D2630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6C454B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B7D7C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D4CB24F" w14:textId="1BDCB62C" w:rsidTr="00D8532C">
        <w:trPr>
          <w:trHeight w:val="113"/>
        </w:trPr>
        <w:tc>
          <w:tcPr>
            <w:tcW w:w="3021" w:type="pct"/>
            <w:vAlign w:val="center"/>
          </w:tcPr>
          <w:p w14:paraId="0229051F" w14:textId="5FBF8CB4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Bezpečný přístup z kteréhokoliv z lůžkových monitorů na jiný lůžkový monitor v síti včetně sledování křivek a alarmového zabezpečení</w:t>
            </w:r>
          </w:p>
        </w:tc>
        <w:tc>
          <w:tcPr>
            <w:tcW w:w="660" w:type="pct"/>
          </w:tcPr>
          <w:p w14:paraId="7AB61D5F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AD2DA6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456C2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FC6EC47" w14:textId="6B5320E2" w:rsidTr="00D8532C">
        <w:trPr>
          <w:trHeight w:val="113"/>
        </w:trPr>
        <w:tc>
          <w:tcPr>
            <w:tcW w:w="3021" w:type="pct"/>
            <w:vAlign w:val="center"/>
          </w:tcPr>
          <w:p w14:paraId="32617B22" w14:textId="6F9D053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660" w:type="pct"/>
          </w:tcPr>
          <w:p w14:paraId="60BD99B2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BB6FF3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F215CB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7A98695" w14:textId="6DEF8205" w:rsidTr="00D8532C">
        <w:trPr>
          <w:trHeight w:val="113"/>
        </w:trPr>
        <w:tc>
          <w:tcPr>
            <w:tcW w:w="3021" w:type="pct"/>
            <w:vAlign w:val="center"/>
          </w:tcPr>
          <w:p w14:paraId="3D635548" w14:textId="5D1433CA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Optický a zvukový alarm při překročení hlídaných mezí</w:t>
            </w:r>
          </w:p>
        </w:tc>
        <w:tc>
          <w:tcPr>
            <w:tcW w:w="660" w:type="pct"/>
          </w:tcPr>
          <w:p w14:paraId="26CB7DC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1E99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85BDF0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6780630" w14:textId="17889220" w:rsidTr="00D8532C">
        <w:trPr>
          <w:trHeight w:val="113"/>
        </w:trPr>
        <w:tc>
          <w:tcPr>
            <w:tcW w:w="3021" w:type="pct"/>
            <w:vAlign w:val="center"/>
          </w:tcPr>
          <w:p w14:paraId="6D9CF91D" w14:textId="702C78B7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660" w:type="pct"/>
          </w:tcPr>
          <w:p w14:paraId="3A0DB875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7D08AA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D5A830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9311081" w14:textId="4461A698" w:rsidTr="00D8532C">
        <w:trPr>
          <w:trHeight w:val="113"/>
        </w:trPr>
        <w:tc>
          <w:tcPr>
            <w:tcW w:w="3021" w:type="pct"/>
            <w:vAlign w:val="center"/>
          </w:tcPr>
          <w:p w14:paraId="75925898" w14:textId="66E51064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660" w:type="pct"/>
          </w:tcPr>
          <w:p w14:paraId="0A5DB47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96E64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140E33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42F2625" w14:textId="6159B88E" w:rsidTr="00D8532C">
        <w:trPr>
          <w:trHeight w:val="113"/>
        </w:trPr>
        <w:tc>
          <w:tcPr>
            <w:tcW w:w="3021" w:type="pct"/>
            <w:vAlign w:val="center"/>
          </w:tcPr>
          <w:p w14:paraId="2A5304FF" w14:textId="6EA2FA03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660" w:type="pct"/>
          </w:tcPr>
          <w:p w14:paraId="4DF386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1397EC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A09F7E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CC3C59B" w14:textId="7B791EDA" w:rsidTr="00D8532C">
        <w:trPr>
          <w:trHeight w:val="113"/>
        </w:trPr>
        <w:tc>
          <w:tcPr>
            <w:tcW w:w="3021" w:type="pct"/>
            <w:vAlign w:val="center"/>
          </w:tcPr>
          <w:p w14:paraId="4FD756A5" w14:textId="229B36C2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Současné zobrazení minimálně 8 stop pro libovolně zvolené křivky a 8 číselných parametrů</w:t>
            </w:r>
          </w:p>
        </w:tc>
        <w:tc>
          <w:tcPr>
            <w:tcW w:w="660" w:type="pct"/>
          </w:tcPr>
          <w:p w14:paraId="1323E5D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667A46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0A196A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B690E1E" w14:textId="021CFEC1" w:rsidTr="00D8532C">
        <w:trPr>
          <w:trHeight w:val="113"/>
        </w:trPr>
        <w:tc>
          <w:tcPr>
            <w:tcW w:w="3021" w:type="pct"/>
            <w:vAlign w:val="center"/>
          </w:tcPr>
          <w:p w14:paraId="6D808AD8" w14:textId="4B36BC33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Monitor musí být připojen k systému pro vzdálený přístup pro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náhled na obrazovku monitoru životních funkcí přes LAN z vybraných míst v nemocniční síti (součástí dodávky musí být veškeré komponenty a služby potřebné k propojení monitoru a jeho součástí s IT infrastrukturou KZ v nemocnicích Krajské zdravotní a.s. na úrovni HL7) </w:t>
            </w:r>
          </w:p>
        </w:tc>
        <w:tc>
          <w:tcPr>
            <w:tcW w:w="660" w:type="pct"/>
          </w:tcPr>
          <w:p w14:paraId="775B81D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B60472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D65D84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5FD75CB" w14:textId="3725FA8D" w:rsidTr="00D8532C">
        <w:trPr>
          <w:trHeight w:val="113"/>
        </w:trPr>
        <w:tc>
          <w:tcPr>
            <w:tcW w:w="3021" w:type="pct"/>
            <w:vAlign w:val="center"/>
          </w:tcPr>
          <w:p w14:paraId="684F6BF7" w14:textId="101E577B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0120ED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660" w:type="pct"/>
          </w:tcPr>
          <w:p w14:paraId="49EDBF1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AF7CCB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709C1E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5DC97C2" w14:textId="5C6063C1" w:rsidTr="00D8532C">
        <w:trPr>
          <w:trHeight w:val="113"/>
        </w:trPr>
        <w:tc>
          <w:tcPr>
            <w:tcW w:w="3021" w:type="pct"/>
            <w:vAlign w:val="center"/>
          </w:tcPr>
          <w:p w14:paraId="379CA159" w14:textId="0B422228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Schopnost identifikace pacienta na základě seznamu, který si monitor načte z NIS prostřednictvím rozhraní HL7 (dodávka potřebného SW a HW pro komunikaci s protokolem HL7 musí být součástí nabídky, nebude-li možno přístroj připojit ke stávající infrastruktuře nemocnice)</w:t>
            </w:r>
          </w:p>
        </w:tc>
        <w:tc>
          <w:tcPr>
            <w:tcW w:w="660" w:type="pct"/>
          </w:tcPr>
          <w:p w14:paraId="0EE69A7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7ECE7A5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8DFBCB9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2A60AED" w14:textId="3A580EB3" w:rsidTr="00D8532C">
        <w:trPr>
          <w:trHeight w:val="113"/>
        </w:trPr>
        <w:tc>
          <w:tcPr>
            <w:tcW w:w="3021" w:type="pct"/>
            <w:vAlign w:val="center"/>
          </w:tcPr>
          <w:p w14:paraId="6AB6AAC4" w14:textId="4019711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Analýza arytmií v reálném čase </w:t>
            </w:r>
          </w:p>
        </w:tc>
        <w:tc>
          <w:tcPr>
            <w:tcW w:w="660" w:type="pct"/>
          </w:tcPr>
          <w:p w14:paraId="7CC2115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956F51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F38CED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D9C2A58" w14:textId="21647BA1" w:rsidTr="00D8532C">
        <w:trPr>
          <w:trHeight w:val="113"/>
        </w:trPr>
        <w:tc>
          <w:tcPr>
            <w:tcW w:w="3021" w:type="pct"/>
            <w:vAlign w:val="center"/>
          </w:tcPr>
          <w:p w14:paraId="16FE173E" w14:textId="4CFCB16A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Ochrana stupně krytí vůči vodě min. </w:t>
            </w:r>
            <w:r w:rsidR="00510DB7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IPX1</w:t>
            </w:r>
          </w:p>
        </w:tc>
        <w:tc>
          <w:tcPr>
            <w:tcW w:w="660" w:type="pct"/>
          </w:tcPr>
          <w:p w14:paraId="2CCE63A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6EF9682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7A1B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E779D" w:rsidRPr="006760F4" w14:paraId="58E02B74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440107B5" w14:textId="0FF98848" w:rsidR="00BE779D" w:rsidRPr="00E5423A" w:rsidRDefault="00BE779D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Ochrana 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proti pádu z výšky</w:t>
            </w:r>
          </w:p>
        </w:tc>
        <w:tc>
          <w:tcPr>
            <w:tcW w:w="660" w:type="pct"/>
          </w:tcPr>
          <w:p w14:paraId="76918DE2" w14:textId="77777777" w:rsidR="00BE779D" w:rsidRPr="006760F4" w:rsidRDefault="00BE779D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8FCFCDB" w14:textId="77777777" w:rsidR="00BE779D" w:rsidRPr="006760F4" w:rsidRDefault="00BE779D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C7D2AD0" w14:textId="77777777" w:rsidR="00BE779D" w:rsidRPr="006760F4" w:rsidRDefault="00BE779D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35922F6" w14:textId="1F329A62" w:rsidTr="00D8532C">
        <w:trPr>
          <w:trHeight w:val="113"/>
        </w:trPr>
        <w:tc>
          <w:tcPr>
            <w:tcW w:w="3021" w:type="pct"/>
            <w:vAlign w:val="center"/>
          </w:tcPr>
          <w:p w14:paraId="1B117565" w14:textId="4209588E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Součástí dodávku bude všechno potřebné příslušenství pro uvedení přístroje do provozu</w:t>
            </w:r>
          </w:p>
        </w:tc>
        <w:tc>
          <w:tcPr>
            <w:tcW w:w="660" w:type="pct"/>
          </w:tcPr>
          <w:p w14:paraId="07D16E4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F97ACB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35952F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865AB05" w14:textId="44D1358F" w:rsidTr="00D8532C">
        <w:trPr>
          <w:trHeight w:val="113"/>
        </w:trPr>
        <w:tc>
          <w:tcPr>
            <w:tcW w:w="3021" w:type="pct"/>
            <w:vAlign w:val="center"/>
          </w:tcPr>
          <w:p w14:paraId="5D9F05E4" w14:textId="6CF9B050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Čtečka čárového kódu</w:t>
            </w:r>
          </w:p>
        </w:tc>
        <w:tc>
          <w:tcPr>
            <w:tcW w:w="660" w:type="pct"/>
          </w:tcPr>
          <w:p w14:paraId="38B1E37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F0E666F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90088C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F8CF25D" w14:textId="148C7F0F" w:rsidTr="00D8532C">
        <w:trPr>
          <w:trHeight w:val="113"/>
        </w:trPr>
        <w:tc>
          <w:tcPr>
            <w:tcW w:w="3021" w:type="pct"/>
            <w:vAlign w:val="center"/>
          </w:tcPr>
          <w:p w14:paraId="5F5EA53F" w14:textId="5DA3333F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Kapnometrie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technologií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sidestream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microstream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(EtCO2)</w:t>
            </w:r>
          </w:p>
        </w:tc>
        <w:tc>
          <w:tcPr>
            <w:tcW w:w="660" w:type="pct"/>
          </w:tcPr>
          <w:p w14:paraId="4CF658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38536A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CF31579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2331383" w14:textId="448BB78C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420C0546" w14:textId="1CA33734" w:rsidR="00D8532C" w:rsidRPr="006760F4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Centrální monitorovací stanice</w:t>
            </w:r>
            <w:r w:rsidRPr="00EF2919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1E448B24" w14:textId="77777777" w:rsidR="00D8532C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3F0D419D" w14:textId="77777777" w:rsidR="00D8532C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1C0AF991" w14:textId="7A9AF002" w:rsidTr="00D8532C">
        <w:trPr>
          <w:trHeight w:val="113"/>
        </w:trPr>
        <w:tc>
          <w:tcPr>
            <w:tcW w:w="3021" w:type="pct"/>
            <w:vAlign w:val="center"/>
          </w:tcPr>
          <w:p w14:paraId="6DE9AD07" w14:textId="026F34D7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připojení min. 8 monitorů/lůžek </w:t>
            </w:r>
          </w:p>
        </w:tc>
        <w:tc>
          <w:tcPr>
            <w:tcW w:w="660" w:type="pct"/>
          </w:tcPr>
          <w:p w14:paraId="389FE51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6D4104E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F683F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B686C65" w14:textId="2031BC0E" w:rsidTr="00D8532C">
        <w:trPr>
          <w:trHeight w:val="113"/>
        </w:trPr>
        <w:tc>
          <w:tcPr>
            <w:tcW w:w="3021" w:type="pct"/>
            <w:vAlign w:val="center"/>
          </w:tcPr>
          <w:p w14:paraId="6C14F249" w14:textId="74C53065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uživatelské rozhraní kompletně v ČJ, ovládání z dotykového monitoru, z klávesnice a myší</w:t>
            </w:r>
          </w:p>
        </w:tc>
        <w:tc>
          <w:tcPr>
            <w:tcW w:w="660" w:type="pct"/>
          </w:tcPr>
          <w:p w14:paraId="7A9FC6B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48239B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F081B5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9CBF63A" w14:textId="650D7933" w:rsidTr="00D8532C">
        <w:trPr>
          <w:trHeight w:val="113"/>
        </w:trPr>
        <w:tc>
          <w:tcPr>
            <w:tcW w:w="3021" w:type="pct"/>
            <w:vAlign w:val="center"/>
          </w:tcPr>
          <w:p w14:paraId="201342F3" w14:textId="32718710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kompatibilita s nabízenými monitory</w:t>
            </w:r>
          </w:p>
        </w:tc>
        <w:tc>
          <w:tcPr>
            <w:tcW w:w="660" w:type="pct"/>
          </w:tcPr>
          <w:p w14:paraId="1DFC194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573EF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0EF73E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0EE7D76" w14:textId="0D3DCDEB" w:rsidTr="00D8532C">
        <w:trPr>
          <w:trHeight w:val="113"/>
        </w:trPr>
        <w:tc>
          <w:tcPr>
            <w:tcW w:w="3021" w:type="pct"/>
            <w:vAlign w:val="center"/>
          </w:tcPr>
          <w:p w14:paraId="40B1BE80" w14:textId="57172301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režim současného zobrazení všech monitorů</w:t>
            </w:r>
          </w:p>
        </w:tc>
        <w:tc>
          <w:tcPr>
            <w:tcW w:w="660" w:type="pct"/>
          </w:tcPr>
          <w:p w14:paraId="7DE60D8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0A1B50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7116CEA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A2D049D" w14:textId="128C1DDC" w:rsidTr="00D8532C">
        <w:trPr>
          <w:trHeight w:val="113"/>
        </w:trPr>
        <w:tc>
          <w:tcPr>
            <w:tcW w:w="3021" w:type="pct"/>
            <w:vAlign w:val="center"/>
          </w:tcPr>
          <w:p w14:paraId="484FE904" w14:textId="70E02B46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komplexní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multisvodová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analýza arytmií, analýza ST úseku, monitorování QT úseku</w:t>
            </w:r>
          </w:p>
        </w:tc>
        <w:tc>
          <w:tcPr>
            <w:tcW w:w="660" w:type="pct"/>
          </w:tcPr>
          <w:p w14:paraId="3CAB0D6E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CBB732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62340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87B8140" w14:textId="66729F5F" w:rsidTr="00D8532C">
        <w:trPr>
          <w:trHeight w:val="113"/>
        </w:trPr>
        <w:tc>
          <w:tcPr>
            <w:tcW w:w="3021" w:type="pct"/>
            <w:vAlign w:val="center"/>
          </w:tcPr>
          <w:p w14:paraId="5C16DFAA" w14:textId="355FBCD5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 detailním režimu – zobrazení všech dat vybraného monitoru s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funkcí zadání základních údajů o pacientovi a dálkového nastavení pacientských monitorů (alarmy, limity, režim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atd.)</w:t>
            </w:r>
          </w:p>
        </w:tc>
        <w:tc>
          <w:tcPr>
            <w:tcW w:w="660" w:type="pct"/>
          </w:tcPr>
          <w:p w14:paraId="748F546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98B7A0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658ED8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2F2E015" w14:textId="2C9C6094" w:rsidTr="00D8532C">
        <w:trPr>
          <w:trHeight w:val="113"/>
        </w:trPr>
        <w:tc>
          <w:tcPr>
            <w:tcW w:w="3021" w:type="pct"/>
            <w:vAlign w:val="center"/>
          </w:tcPr>
          <w:p w14:paraId="451A3E94" w14:textId="26889442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alarmových událostí včetně křivek</w:t>
            </w:r>
          </w:p>
        </w:tc>
        <w:tc>
          <w:tcPr>
            <w:tcW w:w="660" w:type="pct"/>
          </w:tcPr>
          <w:p w14:paraId="1ADF94C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EFD906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631EB2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F775382" w14:textId="441610E7" w:rsidTr="00D8532C">
        <w:trPr>
          <w:trHeight w:val="113"/>
        </w:trPr>
        <w:tc>
          <w:tcPr>
            <w:tcW w:w="3021" w:type="pct"/>
            <w:vAlign w:val="center"/>
          </w:tcPr>
          <w:p w14:paraId="3A8B2B18" w14:textId="53F76C5E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660" w:type="pct"/>
          </w:tcPr>
          <w:p w14:paraId="08010AA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0C9AD8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D93457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CAA1D46" w14:textId="35DB9329" w:rsidTr="00D8532C">
        <w:trPr>
          <w:trHeight w:val="113"/>
        </w:trPr>
        <w:tc>
          <w:tcPr>
            <w:tcW w:w="3021" w:type="pct"/>
            <w:vAlign w:val="center"/>
          </w:tcPr>
          <w:p w14:paraId="0FCB752D" w14:textId="1E198A3C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grafických a numerických trendů včetně křivek min. 120 h zpětně</w:t>
            </w:r>
          </w:p>
        </w:tc>
        <w:tc>
          <w:tcPr>
            <w:tcW w:w="660" w:type="pct"/>
          </w:tcPr>
          <w:p w14:paraId="0B5AF5C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8531D8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3A94B9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FB41144" w14:textId="50C57C1A" w:rsidTr="00D8532C">
        <w:trPr>
          <w:trHeight w:val="113"/>
        </w:trPr>
        <w:tc>
          <w:tcPr>
            <w:tcW w:w="3021" w:type="pct"/>
            <w:vAlign w:val="center"/>
          </w:tcPr>
          <w:p w14:paraId="035A379B" w14:textId="1307AC33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tisku pacientských údajů, naměřených dat a křivek z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kteréhokoliv pacientského monitoru nebo z centrální monitorovací stanice</w:t>
            </w:r>
          </w:p>
        </w:tc>
        <w:tc>
          <w:tcPr>
            <w:tcW w:w="660" w:type="pct"/>
          </w:tcPr>
          <w:p w14:paraId="3713DA8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DA27D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336DDA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60963C3" w14:textId="2AE1C182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532C5017" w14:textId="5ABD48BA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Transportní pacientský monitor</w:t>
            </w:r>
            <w:r w:rsidRPr="00CF5456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0FD55892" w14:textId="77777777" w:rsidR="00D8532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31C96567" w14:textId="77777777" w:rsidR="00D8532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04425C9D" w14:textId="1643FDB5" w:rsidTr="00D8532C">
        <w:trPr>
          <w:trHeight w:val="113"/>
        </w:trPr>
        <w:tc>
          <w:tcPr>
            <w:tcW w:w="3021" w:type="pct"/>
          </w:tcPr>
          <w:p w14:paraId="50E2C791" w14:textId="152F1CC2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C733C8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Přístroj s min. </w:t>
            </w:r>
            <w:r w:rsidR="00510DB7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10</w:t>
            </w:r>
            <w:r w:rsidRPr="00C733C8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palcovou dotykovou obrazovkou, která je konfigurovatelná</w:t>
            </w:r>
            <w:r>
              <w:rPr>
                <w:rFonts w:ascii="Calibri" w:hAnsi="Calibri"/>
                <w:color w:val="000000"/>
                <w:szCs w:val="18"/>
              </w:rPr>
              <w:t xml:space="preserve">  </w:t>
            </w:r>
          </w:p>
        </w:tc>
        <w:tc>
          <w:tcPr>
            <w:tcW w:w="660" w:type="pct"/>
          </w:tcPr>
          <w:p w14:paraId="270EDEC4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01441C8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968C1B3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AFABDA9" w14:textId="52DBCBAA" w:rsidTr="00D8532C">
        <w:trPr>
          <w:trHeight w:val="113"/>
        </w:trPr>
        <w:tc>
          <w:tcPr>
            <w:tcW w:w="3021" w:type="pct"/>
            <w:vAlign w:val="center"/>
          </w:tcPr>
          <w:p w14:paraId="00E79728" w14:textId="62395668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Přednastavení monitoru pro min. 3 věkové kategorie (novorozenec, dítě, dospělý)</w:t>
            </w:r>
          </w:p>
        </w:tc>
        <w:tc>
          <w:tcPr>
            <w:tcW w:w="660" w:type="pct"/>
          </w:tcPr>
          <w:p w14:paraId="4F9E874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83CA71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521183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6135A67" w14:textId="71AADF8D" w:rsidTr="00D8532C">
        <w:trPr>
          <w:trHeight w:val="113"/>
        </w:trPr>
        <w:tc>
          <w:tcPr>
            <w:tcW w:w="3021" w:type="pct"/>
            <w:vAlign w:val="center"/>
          </w:tcPr>
          <w:p w14:paraId="704ACA51" w14:textId="4B195710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Zobrazení minimálně 8 křivek současně</w:t>
            </w:r>
          </w:p>
        </w:tc>
        <w:tc>
          <w:tcPr>
            <w:tcW w:w="660" w:type="pct"/>
          </w:tcPr>
          <w:p w14:paraId="0040820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CF16A0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34F21C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5164765" w14:textId="4DD09FCC" w:rsidTr="00D8532C">
        <w:trPr>
          <w:trHeight w:val="113"/>
        </w:trPr>
        <w:tc>
          <w:tcPr>
            <w:tcW w:w="3021" w:type="pct"/>
            <w:vAlign w:val="center"/>
          </w:tcPr>
          <w:p w14:paraId="3F800E4A" w14:textId="4763B343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Standardní sledování EKG, respirace, NIPB, SpO2, teplota, tepové frekvence, IBP</w:t>
            </w:r>
          </w:p>
        </w:tc>
        <w:tc>
          <w:tcPr>
            <w:tcW w:w="660" w:type="pct"/>
          </w:tcPr>
          <w:p w14:paraId="2EB103C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545F17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78F2548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A86BA4B" w14:textId="299622A2" w:rsidTr="00D8532C">
        <w:trPr>
          <w:trHeight w:val="113"/>
        </w:trPr>
        <w:tc>
          <w:tcPr>
            <w:tcW w:w="3021" w:type="pct"/>
            <w:vAlign w:val="center"/>
          </w:tcPr>
          <w:p w14:paraId="42BDAD4E" w14:textId="794DBA6E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Monitorace EKG z</w:t>
            </w:r>
            <w:r w:rsidR="00510DB7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 min. 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3, 5 </w:t>
            </w:r>
          </w:p>
        </w:tc>
        <w:tc>
          <w:tcPr>
            <w:tcW w:w="660" w:type="pct"/>
          </w:tcPr>
          <w:p w14:paraId="01AE6B5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52F3C7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FBB74C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52A46BA" w14:textId="557B9430" w:rsidTr="00D8532C">
        <w:trPr>
          <w:trHeight w:val="113"/>
        </w:trPr>
        <w:tc>
          <w:tcPr>
            <w:tcW w:w="3021" w:type="pct"/>
            <w:vAlign w:val="center"/>
          </w:tcPr>
          <w:p w14:paraId="5DA59095" w14:textId="203D14A9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Propojení na centrální monitor </w:t>
            </w:r>
          </w:p>
        </w:tc>
        <w:tc>
          <w:tcPr>
            <w:tcW w:w="660" w:type="pct"/>
          </w:tcPr>
          <w:p w14:paraId="33A88CF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480529B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F0E19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7AF0B5C" w14:textId="340A08E9" w:rsidTr="00D8532C">
        <w:trPr>
          <w:trHeight w:val="113"/>
        </w:trPr>
        <w:tc>
          <w:tcPr>
            <w:tcW w:w="3021" w:type="pct"/>
            <w:vAlign w:val="center"/>
          </w:tcPr>
          <w:p w14:paraId="01E81A00" w14:textId="755B07FA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Kompatibilní s nabízenou centrální monitorovací stanicí</w:t>
            </w:r>
          </w:p>
        </w:tc>
        <w:tc>
          <w:tcPr>
            <w:tcW w:w="660" w:type="pct"/>
          </w:tcPr>
          <w:p w14:paraId="403A2FF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E276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04A3F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296ECCF" w14:textId="4D123CF6" w:rsidTr="00D8532C">
        <w:trPr>
          <w:trHeight w:val="113"/>
        </w:trPr>
        <w:tc>
          <w:tcPr>
            <w:tcW w:w="3021" w:type="pct"/>
            <w:vAlign w:val="center"/>
          </w:tcPr>
          <w:p w14:paraId="71539BAA" w14:textId="09186FBB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660" w:type="pct"/>
          </w:tcPr>
          <w:p w14:paraId="2F87C16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77459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FB99AD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4C83E7C" w14:textId="1E764EF3" w:rsidTr="00D8532C">
        <w:trPr>
          <w:trHeight w:val="113"/>
        </w:trPr>
        <w:tc>
          <w:tcPr>
            <w:tcW w:w="3021" w:type="pct"/>
            <w:vAlign w:val="center"/>
          </w:tcPr>
          <w:p w14:paraId="130787B6" w14:textId="53F71C66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Dobíjitelná baterie s kapacitou na min. 120 minut provozu při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výpadku el. sítě </w:t>
            </w:r>
          </w:p>
        </w:tc>
        <w:tc>
          <w:tcPr>
            <w:tcW w:w="660" w:type="pct"/>
          </w:tcPr>
          <w:p w14:paraId="22EE01A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7EEB4C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BBF8B2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B9BB511" w14:textId="3E495C70" w:rsidTr="00D8532C">
        <w:trPr>
          <w:trHeight w:val="113"/>
        </w:trPr>
        <w:tc>
          <w:tcPr>
            <w:tcW w:w="3021" w:type="pct"/>
            <w:vAlign w:val="center"/>
          </w:tcPr>
          <w:p w14:paraId="6111DAA9" w14:textId="61A89092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660" w:type="pct"/>
          </w:tcPr>
          <w:p w14:paraId="04FE6768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A42592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F6BFA4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9ADA708" w14:textId="0C6E05A3" w:rsidTr="00D8532C">
        <w:trPr>
          <w:trHeight w:val="113"/>
        </w:trPr>
        <w:tc>
          <w:tcPr>
            <w:tcW w:w="3021" w:type="pct"/>
            <w:vAlign w:val="center"/>
          </w:tcPr>
          <w:p w14:paraId="6182BB55" w14:textId="1ABF1F90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Optický a zvukový alarm při překročení hlídaných mezí</w:t>
            </w:r>
          </w:p>
        </w:tc>
        <w:tc>
          <w:tcPr>
            <w:tcW w:w="660" w:type="pct"/>
          </w:tcPr>
          <w:p w14:paraId="6F598E1B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5A9FC3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3DAF16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3228F2D" w14:textId="316B657E" w:rsidTr="00D8532C">
        <w:trPr>
          <w:trHeight w:val="113"/>
        </w:trPr>
        <w:tc>
          <w:tcPr>
            <w:tcW w:w="3021" w:type="pct"/>
            <w:vAlign w:val="center"/>
          </w:tcPr>
          <w:p w14:paraId="75EDB63E" w14:textId="6CA27D71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660" w:type="pct"/>
          </w:tcPr>
          <w:p w14:paraId="3B756EA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BD0361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21567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ECCBB2E" w14:textId="19FDBAFD" w:rsidTr="00D8532C">
        <w:trPr>
          <w:trHeight w:val="113"/>
        </w:trPr>
        <w:tc>
          <w:tcPr>
            <w:tcW w:w="3021" w:type="pct"/>
            <w:vAlign w:val="center"/>
          </w:tcPr>
          <w:p w14:paraId="7FDB8603" w14:textId="30B34705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660" w:type="pct"/>
          </w:tcPr>
          <w:p w14:paraId="23B12B0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BBE44EA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5FB4D8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02F582D" w14:textId="04D95505" w:rsidTr="00D8532C">
        <w:trPr>
          <w:trHeight w:val="113"/>
        </w:trPr>
        <w:tc>
          <w:tcPr>
            <w:tcW w:w="3021" w:type="pct"/>
            <w:vAlign w:val="center"/>
          </w:tcPr>
          <w:p w14:paraId="6F35B56A" w14:textId="28B902D1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 musí být připojen k systému pro vzdálený přístup </w:t>
            </w:r>
            <w:r w:rsidRPr="00095FEA">
              <w:t>pro</w:t>
            </w:r>
            <w:r w:rsidR="00095FEA">
              <w:t> </w:t>
            </w:r>
            <w:r w:rsidRPr="00095FEA">
              <w:t>náhled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na obrazovku monitoru životních funkcí přes LAN z vybraných míst v nemocniční síti (součástí dodávky musí být veškeré komponenty a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služby potřebné k propojení monitoru a jeho součástí s IT infrastrukturou KZ v nemocnicích Krajské zdravotní a.s. na úrovni HL7) </w:t>
            </w:r>
          </w:p>
        </w:tc>
        <w:tc>
          <w:tcPr>
            <w:tcW w:w="660" w:type="pct"/>
          </w:tcPr>
          <w:p w14:paraId="7A7D9E5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1E37F4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09F4FE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3DB57F6" w14:textId="1AC7FA8D" w:rsidTr="00D8532C">
        <w:trPr>
          <w:trHeight w:val="113"/>
        </w:trPr>
        <w:tc>
          <w:tcPr>
            <w:tcW w:w="3021" w:type="pct"/>
            <w:vAlign w:val="center"/>
          </w:tcPr>
          <w:p w14:paraId="73568C96" w14:textId="79A8757A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DB5ECC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660" w:type="pct"/>
          </w:tcPr>
          <w:p w14:paraId="5A5C595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6F5772A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E3B33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0232012" w14:textId="2E5EFD1A" w:rsidTr="00D8532C">
        <w:trPr>
          <w:trHeight w:val="113"/>
        </w:trPr>
        <w:tc>
          <w:tcPr>
            <w:tcW w:w="3021" w:type="pct"/>
            <w:vAlign w:val="center"/>
          </w:tcPr>
          <w:p w14:paraId="27EA1820" w14:textId="4EAFC254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Schopnost identifikace pacienta na základě seznamu, který si monitor načte z NIS prostřednictvím rozhraní HL7 (dodávka potřebného SW a HW pro komunikaci s protokolem HL7 musí být součástí nabídky, nebude-li možno přístroj připojit ke stávající infrastruktuře nemocnice)</w:t>
            </w:r>
          </w:p>
        </w:tc>
        <w:tc>
          <w:tcPr>
            <w:tcW w:w="660" w:type="pct"/>
          </w:tcPr>
          <w:p w14:paraId="5AAC541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25A624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D20AA2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67E54CD" w14:textId="392CA6F5" w:rsidTr="00D8532C">
        <w:trPr>
          <w:trHeight w:val="113"/>
        </w:trPr>
        <w:tc>
          <w:tcPr>
            <w:tcW w:w="3021" w:type="pct"/>
            <w:vAlign w:val="center"/>
          </w:tcPr>
          <w:p w14:paraId="7E9215F9" w14:textId="2A1C7A35" w:rsidR="00D8532C" w:rsidRPr="00E5423A" w:rsidRDefault="00D8532C" w:rsidP="0094033B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Ochrana stupně krytí vůči vodě min. IP</w:t>
            </w:r>
            <w:r w:rsidR="00BE779D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X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60" w:type="pct"/>
          </w:tcPr>
          <w:p w14:paraId="4561DD94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4CDBACE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10DEA76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E370B43" w14:textId="0DE86219" w:rsidTr="00D8532C">
        <w:trPr>
          <w:trHeight w:val="113"/>
        </w:trPr>
        <w:tc>
          <w:tcPr>
            <w:tcW w:w="3021" w:type="pct"/>
            <w:vAlign w:val="center"/>
          </w:tcPr>
          <w:p w14:paraId="221071FC" w14:textId="3E75A570" w:rsidR="00D8532C" w:rsidRPr="00E5423A" w:rsidRDefault="00D8532C" w:rsidP="0094033B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Součástí dodávku bude všechno potřebné příslušenství pro uvedení přístroje do provozu</w:t>
            </w:r>
          </w:p>
        </w:tc>
        <w:tc>
          <w:tcPr>
            <w:tcW w:w="660" w:type="pct"/>
          </w:tcPr>
          <w:p w14:paraId="6BF196E7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2A05F7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7081986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340565D" w14:textId="7CC7F0BF" w:rsidTr="00D8532C">
        <w:trPr>
          <w:trHeight w:val="113"/>
        </w:trPr>
        <w:tc>
          <w:tcPr>
            <w:tcW w:w="3021" w:type="pct"/>
            <w:vAlign w:val="center"/>
          </w:tcPr>
          <w:p w14:paraId="10B7E02F" w14:textId="5B263374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Kapnometrie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technologií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sidestream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microstream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(EtCO2)</w:t>
            </w:r>
          </w:p>
        </w:tc>
        <w:tc>
          <w:tcPr>
            <w:tcW w:w="660" w:type="pct"/>
          </w:tcPr>
          <w:p w14:paraId="7920328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9C9C1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D6BC76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DA3A0BD" w14:textId="4ACCE3BA" w:rsidTr="00D8532C">
        <w:trPr>
          <w:trHeight w:val="113"/>
        </w:trPr>
        <w:tc>
          <w:tcPr>
            <w:tcW w:w="3021" w:type="pct"/>
            <w:vAlign w:val="center"/>
          </w:tcPr>
          <w:p w14:paraId="57A1BFA6" w14:textId="486EE136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Držák pro uchycení na pacientské lůžko</w:t>
            </w:r>
          </w:p>
        </w:tc>
        <w:tc>
          <w:tcPr>
            <w:tcW w:w="660" w:type="pct"/>
          </w:tcPr>
          <w:p w14:paraId="734232C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BFCA8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1492A5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0EC484B" w14:textId="5EEA284A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6B13C7FE" w14:textId="1BD5F373" w:rsidR="00D8532C" w:rsidRPr="006760F4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Příslušenství pro pacienty všech věkových skupin: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5B00C8AC" w14:textId="77777777" w:rsidR="00D8532C" w:rsidRPr="00E676A1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5818932C" w14:textId="77777777" w:rsidR="00D8532C" w:rsidRPr="00E676A1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71C9211F" w14:textId="41D2D53A" w:rsidTr="00D8532C">
        <w:trPr>
          <w:trHeight w:val="113"/>
        </w:trPr>
        <w:tc>
          <w:tcPr>
            <w:tcW w:w="3021" w:type="pct"/>
          </w:tcPr>
          <w:p w14:paraId="151CAC5B" w14:textId="0FDBA637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Saturační čidlo na prst vč. propojovacího kabelu</w:t>
            </w:r>
          </w:p>
        </w:tc>
        <w:tc>
          <w:tcPr>
            <w:tcW w:w="660" w:type="pct"/>
          </w:tcPr>
          <w:p w14:paraId="080CE5F2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6E469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04AEE88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194B9AB" w14:textId="65ADB6CA" w:rsidTr="00D8532C">
        <w:trPr>
          <w:trHeight w:val="113"/>
        </w:trPr>
        <w:tc>
          <w:tcPr>
            <w:tcW w:w="3021" w:type="pct"/>
          </w:tcPr>
          <w:p w14:paraId="4C0884CB" w14:textId="61442F68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Manžeta pro NIBP dospělá ve 3 velikostech</w:t>
            </w:r>
          </w:p>
        </w:tc>
        <w:tc>
          <w:tcPr>
            <w:tcW w:w="660" w:type="pct"/>
          </w:tcPr>
          <w:p w14:paraId="7DDB3430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2275272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44A45FD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75F2B82" w14:textId="406BD63F" w:rsidTr="00D8532C">
        <w:trPr>
          <w:trHeight w:val="113"/>
        </w:trPr>
        <w:tc>
          <w:tcPr>
            <w:tcW w:w="3021" w:type="pct"/>
          </w:tcPr>
          <w:p w14:paraId="21A3BCAD" w14:textId="11947895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Hadice NIBP prodl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žovací</w:t>
            </w:r>
          </w:p>
        </w:tc>
        <w:tc>
          <w:tcPr>
            <w:tcW w:w="660" w:type="pct"/>
          </w:tcPr>
          <w:p w14:paraId="2189ED60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5623A4A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0718D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AC8606D" w14:textId="1F509D70" w:rsidTr="00D8532C">
        <w:trPr>
          <w:trHeight w:val="113"/>
        </w:trPr>
        <w:tc>
          <w:tcPr>
            <w:tcW w:w="3021" w:type="pct"/>
          </w:tcPr>
          <w:p w14:paraId="4022428B" w14:textId="07E2B005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Kabely pro </w:t>
            </w:r>
            <w:proofErr w:type="spellStart"/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meření</w:t>
            </w:r>
            <w:proofErr w:type="spellEnd"/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IBP, tlakový převodník a jiné potřebné pří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lušenství pro měření IBP</w:t>
            </w:r>
          </w:p>
        </w:tc>
        <w:tc>
          <w:tcPr>
            <w:tcW w:w="660" w:type="pct"/>
          </w:tcPr>
          <w:p w14:paraId="7D5FAC8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58EC354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2B4A76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96A1009" w14:textId="178712D5" w:rsidTr="00D8532C">
        <w:trPr>
          <w:trHeight w:val="113"/>
        </w:trPr>
        <w:tc>
          <w:tcPr>
            <w:tcW w:w="3021" w:type="pct"/>
          </w:tcPr>
          <w:p w14:paraId="04280061" w14:textId="6EAC90D6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5 svodové EKG svody</w:t>
            </w:r>
          </w:p>
        </w:tc>
        <w:tc>
          <w:tcPr>
            <w:tcW w:w="660" w:type="pct"/>
          </w:tcPr>
          <w:p w14:paraId="0DA3475B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4B93A6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3EA24F6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6AE3C0D" w14:textId="3898B1F5" w:rsidTr="00D8532C">
        <w:trPr>
          <w:trHeight w:val="113"/>
        </w:trPr>
        <w:tc>
          <w:tcPr>
            <w:tcW w:w="3021" w:type="pct"/>
          </w:tcPr>
          <w:p w14:paraId="14F5DFF8" w14:textId="78844200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Teplotní čidlo</w:t>
            </w:r>
          </w:p>
        </w:tc>
        <w:tc>
          <w:tcPr>
            <w:tcW w:w="660" w:type="pct"/>
          </w:tcPr>
          <w:p w14:paraId="379DF780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A8E792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4EFCD82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13285295" w14:textId="77777777" w:rsidR="00721CEA" w:rsidRPr="00721CEA" w:rsidRDefault="00721CEA" w:rsidP="00721CEA">
      <w:pPr>
        <w:tabs>
          <w:tab w:val="left" w:pos="567"/>
        </w:tabs>
        <w:rPr>
          <w:rFonts w:cs="Arial"/>
          <w:sz w:val="20"/>
          <w:szCs w:val="20"/>
        </w:rPr>
      </w:pPr>
      <w:r w:rsidRPr="00721CEA">
        <w:rPr>
          <w:rFonts w:eastAsia="Calibri" w:cs="Arial"/>
          <w:color w:val="000000"/>
          <w:sz w:val="20"/>
          <w:szCs w:val="20"/>
        </w:rPr>
        <w:t xml:space="preserve">    * - </w:t>
      </w:r>
      <w:r w:rsidRPr="00721CEA">
        <w:rPr>
          <w:rFonts w:cs="Arial"/>
          <w:sz w:val="20"/>
          <w:szCs w:val="20"/>
        </w:rPr>
        <w:t xml:space="preserve">pouze u parametrů </w:t>
      </w:r>
      <w:proofErr w:type="spellStart"/>
      <w:r w:rsidRPr="00721CEA">
        <w:rPr>
          <w:rFonts w:cs="Arial"/>
          <w:sz w:val="20"/>
          <w:szCs w:val="20"/>
        </w:rPr>
        <w:t>charakterizovatelných</w:t>
      </w:r>
      <w:proofErr w:type="spellEnd"/>
      <w:r w:rsidRPr="00721CEA">
        <w:rPr>
          <w:rFonts w:cs="Arial"/>
          <w:sz w:val="20"/>
          <w:szCs w:val="20"/>
        </w:rPr>
        <w:t xml:space="preserve"> touto hodnotou</w:t>
      </w:r>
      <w:r w:rsidRPr="00721CEA">
        <w:rPr>
          <w:rFonts w:cs="Arial"/>
          <w:sz w:val="20"/>
          <w:szCs w:val="20"/>
        </w:rPr>
        <w:br/>
        <w:t xml:space="preserve">  ** - dokument a číslo strany</w:t>
      </w:r>
    </w:p>
    <w:p w14:paraId="6C93F6EB" w14:textId="77777777" w:rsidR="00721CEA" w:rsidRDefault="00721CEA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124EE90B" w14:textId="77777777" w:rsidR="00BE6A4F" w:rsidRPr="006760F4" w:rsidRDefault="00BE6A4F" w:rsidP="00BE6A4F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784F13AC" w14:textId="77777777" w:rsidR="00BE6A4F" w:rsidRDefault="00BE6A4F" w:rsidP="00BE6A4F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0CB2B508" w14:textId="77777777" w:rsidR="00BE6A4F" w:rsidRPr="002A7311" w:rsidRDefault="00BE6A4F" w:rsidP="00BE6A4F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2A7311">
        <w:rPr>
          <w:rFonts w:ascii="Arial" w:hAnsi="Arial" w:cs="Arial"/>
          <w:sz w:val="20"/>
          <w:szCs w:val="20"/>
        </w:rPr>
        <w:t xml:space="preserve">Pro účely této zakázky se pojmem </w:t>
      </w:r>
      <w:r w:rsidRPr="002A7311">
        <w:rPr>
          <w:rStyle w:val="Zdraznn"/>
          <w:rFonts w:ascii="Arial" w:hAnsi="Arial" w:cs="Arial"/>
          <w:sz w:val="20"/>
          <w:szCs w:val="20"/>
        </w:rPr>
        <w:t>integrovaný</w:t>
      </w:r>
      <w:r w:rsidRPr="002A7311">
        <w:rPr>
          <w:rFonts w:ascii="Arial" w:hAnsi="Arial" w:cs="Arial"/>
          <w:sz w:val="20"/>
          <w:szCs w:val="20"/>
        </w:rPr>
        <w:t xml:space="preserve"> rozumí prvek, modul nebo zařízení, které je výrobcem určeno k</w:t>
      </w:r>
      <w:r>
        <w:rPr>
          <w:rFonts w:ascii="Arial" w:hAnsi="Arial" w:cs="Arial"/>
          <w:sz w:val="20"/>
          <w:szCs w:val="20"/>
        </w:rPr>
        <w:t> </w:t>
      </w:r>
      <w:r w:rsidRPr="002A7311">
        <w:rPr>
          <w:rFonts w:ascii="Arial" w:hAnsi="Arial" w:cs="Arial"/>
          <w:sz w:val="20"/>
          <w:szCs w:val="20"/>
        </w:rPr>
        <w:t>použití jako nedílná součást hlavního přístroje nebo systému, je s ním konstrukčně a funkčně spojeno a není běžným příslušenstvím určeným k volnému odnímání nebo samostatnému provozu. Integrovaný prvek může být odnímatelný za účelem servisu, výměny nebo transportu, pokud je zachován jeho charakter součásti hlavního zařízení.</w:t>
      </w:r>
    </w:p>
    <w:p w14:paraId="75A14537" w14:textId="77777777" w:rsidR="00BE6A4F" w:rsidRDefault="00BE6A4F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189F609A" w14:textId="3ED7BE03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lastRenderedPageBreak/>
        <w:t xml:space="preserve">číselnou hodnotu u parametrů, které lze takto charakterizovat </w:t>
      </w:r>
    </w:p>
    <w:p w14:paraId="062404B0" w14:textId="6499B81F" w:rsidR="00F2670B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kde lze daný požadavek ověřit (např. číslo strany v brožuře) a doloží materiály (brožury, manuály, návod k použití, </w:t>
      </w:r>
      <w:proofErr w:type="gramStart"/>
      <w:r w:rsidRPr="006760F4">
        <w:rPr>
          <w:rFonts w:eastAsia="Calibri" w:cs="Arial"/>
          <w:sz w:val="20"/>
        </w:rPr>
        <w:t>odkaz,</w:t>
      </w:r>
      <w:proofErr w:type="gramEnd"/>
      <w:r w:rsidRPr="006760F4">
        <w:rPr>
          <w:rFonts w:eastAsia="Calibri" w:cs="Arial"/>
          <w:sz w:val="20"/>
        </w:rPr>
        <w:t xml:space="preserve"> atd.), pokud jsou k</w:t>
      </w:r>
      <w:r w:rsidR="00C579DB">
        <w:rPr>
          <w:rFonts w:eastAsia="Calibri" w:cs="Arial"/>
          <w:sz w:val="20"/>
        </w:rPr>
        <w:t> </w:t>
      </w:r>
      <w:r w:rsidRPr="006760F4">
        <w:rPr>
          <w:rFonts w:eastAsia="Calibri" w:cs="Arial"/>
          <w:sz w:val="20"/>
        </w:rPr>
        <w:t>dispozici</w:t>
      </w:r>
    </w:p>
    <w:p w14:paraId="02D9EE61" w14:textId="06510264" w:rsidR="00C579DB" w:rsidRPr="00B55FD8" w:rsidRDefault="00C579DB" w:rsidP="00B55FD8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prohlášením</w:t>
      </w:r>
    </w:p>
    <w:p w14:paraId="777E04AD" w14:textId="77777777" w:rsidR="005F2677" w:rsidRDefault="005F2677" w:rsidP="00C579DB">
      <w:pPr>
        <w:ind w:left="360"/>
        <w:jc w:val="both"/>
        <w:rPr>
          <w:rFonts w:cs="Arial"/>
          <w:sz w:val="20"/>
          <w:szCs w:val="20"/>
        </w:rPr>
      </w:pPr>
    </w:p>
    <w:p w14:paraId="4AF7D422" w14:textId="5F05AB00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652144D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85A3110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FBBA66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2CECA51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5A2F89F9" w14:textId="77777777" w:rsidR="00C579DB" w:rsidRPr="008D706E" w:rsidRDefault="00C579DB" w:rsidP="00C579DB">
      <w:pPr>
        <w:rPr>
          <w:sz w:val="20"/>
          <w:szCs w:val="20"/>
        </w:rPr>
      </w:pPr>
    </w:p>
    <w:p w14:paraId="326AEC4B" w14:textId="77777777" w:rsidR="00C579DB" w:rsidRPr="006760F4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2ED48C5C" w14:textId="77777777" w:rsidR="00F2670B" w:rsidRPr="002D3211" w:rsidRDefault="00F2670B" w:rsidP="00F2670B"/>
    <w:p w14:paraId="416B0E55" w14:textId="7777777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32CF" w14:textId="77777777" w:rsidR="003C734D" w:rsidRDefault="003C734D" w:rsidP="004A044C">
      <w:pPr>
        <w:spacing w:line="240" w:lineRule="auto"/>
      </w:pPr>
      <w:r>
        <w:separator/>
      </w:r>
    </w:p>
  </w:endnote>
  <w:endnote w:type="continuationSeparator" w:id="0">
    <w:p w14:paraId="6E7B34D3" w14:textId="77777777" w:rsidR="003C734D" w:rsidRDefault="003C734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B0C6" w14:textId="77777777" w:rsidR="003C734D" w:rsidRDefault="003C734D" w:rsidP="004A044C">
      <w:pPr>
        <w:spacing w:line="240" w:lineRule="auto"/>
      </w:pPr>
      <w:r>
        <w:separator/>
      </w:r>
    </w:p>
  </w:footnote>
  <w:footnote w:type="continuationSeparator" w:id="0">
    <w:p w14:paraId="3ED7FF8E" w14:textId="77777777" w:rsidR="003C734D" w:rsidRDefault="003C734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6C06986"/>
    <w:multiLevelType w:val="hybridMultilevel"/>
    <w:tmpl w:val="14FC52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20ED"/>
    <w:rsid w:val="00013DE8"/>
    <w:rsid w:val="000725D6"/>
    <w:rsid w:val="00073CCE"/>
    <w:rsid w:val="00095FEA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2CA4"/>
    <w:rsid w:val="0026591C"/>
    <w:rsid w:val="00286F15"/>
    <w:rsid w:val="0031358D"/>
    <w:rsid w:val="0032622A"/>
    <w:rsid w:val="00331F3A"/>
    <w:rsid w:val="00353FB2"/>
    <w:rsid w:val="00354A96"/>
    <w:rsid w:val="00382A62"/>
    <w:rsid w:val="00392423"/>
    <w:rsid w:val="003B3991"/>
    <w:rsid w:val="003C734D"/>
    <w:rsid w:val="003D4DF8"/>
    <w:rsid w:val="004303BB"/>
    <w:rsid w:val="00445B67"/>
    <w:rsid w:val="00462009"/>
    <w:rsid w:val="0047111E"/>
    <w:rsid w:val="00493BAA"/>
    <w:rsid w:val="004A044C"/>
    <w:rsid w:val="004A32C2"/>
    <w:rsid w:val="004A68D9"/>
    <w:rsid w:val="004C6686"/>
    <w:rsid w:val="004E3F47"/>
    <w:rsid w:val="00507B10"/>
    <w:rsid w:val="00510DB7"/>
    <w:rsid w:val="0051645F"/>
    <w:rsid w:val="0052775C"/>
    <w:rsid w:val="00540947"/>
    <w:rsid w:val="00580EDE"/>
    <w:rsid w:val="005964DC"/>
    <w:rsid w:val="005B402A"/>
    <w:rsid w:val="005C64DB"/>
    <w:rsid w:val="005E3326"/>
    <w:rsid w:val="005F08AC"/>
    <w:rsid w:val="005F2677"/>
    <w:rsid w:val="00657FE1"/>
    <w:rsid w:val="00695E3C"/>
    <w:rsid w:val="006A78C0"/>
    <w:rsid w:val="006C53A2"/>
    <w:rsid w:val="006E2395"/>
    <w:rsid w:val="006E2A5A"/>
    <w:rsid w:val="006F2635"/>
    <w:rsid w:val="0071483B"/>
    <w:rsid w:val="00721CEA"/>
    <w:rsid w:val="007476D3"/>
    <w:rsid w:val="00787F09"/>
    <w:rsid w:val="00824631"/>
    <w:rsid w:val="00855F56"/>
    <w:rsid w:val="008650CD"/>
    <w:rsid w:val="00887AD4"/>
    <w:rsid w:val="00892023"/>
    <w:rsid w:val="008B75FA"/>
    <w:rsid w:val="008E311B"/>
    <w:rsid w:val="008F4FC4"/>
    <w:rsid w:val="008F6A0E"/>
    <w:rsid w:val="00900F96"/>
    <w:rsid w:val="00932EB1"/>
    <w:rsid w:val="0094033B"/>
    <w:rsid w:val="00944720"/>
    <w:rsid w:val="009876AE"/>
    <w:rsid w:val="009969EB"/>
    <w:rsid w:val="009A699B"/>
    <w:rsid w:val="009F5628"/>
    <w:rsid w:val="00A037B7"/>
    <w:rsid w:val="00A06824"/>
    <w:rsid w:val="00A15D6B"/>
    <w:rsid w:val="00A31EB3"/>
    <w:rsid w:val="00A77944"/>
    <w:rsid w:val="00AA676B"/>
    <w:rsid w:val="00AB233A"/>
    <w:rsid w:val="00AB3597"/>
    <w:rsid w:val="00AF22E6"/>
    <w:rsid w:val="00B01A21"/>
    <w:rsid w:val="00B03397"/>
    <w:rsid w:val="00B04E80"/>
    <w:rsid w:val="00B25962"/>
    <w:rsid w:val="00B34585"/>
    <w:rsid w:val="00B55FD8"/>
    <w:rsid w:val="00B65A82"/>
    <w:rsid w:val="00B96D14"/>
    <w:rsid w:val="00BC0A5A"/>
    <w:rsid w:val="00BC1BB1"/>
    <w:rsid w:val="00BE6A4F"/>
    <w:rsid w:val="00BE779D"/>
    <w:rsid w:val="00BF2810"/>
    <w:rsid w:val="00C070C0"/>
    <w:rsid w:val="00C10771"/>
    <w:rsid w:val="00C207E1"/>
    <w:rsid w:val="00C26BA0"/>
    <w:rsid w:val="00C5280B"/>
    <w:rsid w:val="00C579DB"/>
    <w:rsid w:val="00C733C8"/>
    <w:rsid w:val="00C7652B"/>
    <w:rsid w:val="00CC227C"/>
    <w:rsid w:val="00CE2490"/>
    <w:rsid w:val="00CF19C4"/>
    <w:rsid w:val="00D21F38"/>
    <w:rsid w:val="00D22279"/>
    <w:rsid w:val="00D271E1"/>
    <w:rsid w:val="00D47E6C"/>
    <w:rsid w:val="00D7639E"/>
    <w:rsid w:val="00D8532C"/>
    <w:rsid w:val="00D9237F"/>
    <w:rsid w:val="00DB5ECC"/>
    <w:rsid w:val="00DE56F9"/>
    <w:rsid w:val="00E01B24"/>
    <w:rsid w:val="00E1346F"/>
    <w:rsid w:val="00E3756C"/>
    <w:rsid w:val="00E5423A"/>
    <w:rsid w:val="00E87CBA"/>
    <w:rsid w:val="00E94005"/>
    <w:rsid w:val="00ED5342"/>
    <w:rsid w:val="00EE60B1"/>
    <w:rsid w:val="00EE7272"/>
    <w:rsid w:val="00F163AD"/>
    <w:rsid w:val="00F245C4"/>
    <w:rsid w:val="00F2670B"/>
    <w:rsid w:val="00F37091"/>
    <w:rsid w:val="00FA6922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10DB7"/>
    <w:pPr>
      <w:spacing w:after="0" w:line="240" w:lineRule="auto"/>
    </w:pPr>
    <w:rPr>
      <w:rFonts w:ascii="Arial" w:hAnsi="Arial"/>
      <w:sz w:val="18"/>
    </w:rPr>
  </w:style>
  <w:style w:type="paragraph" w:customStyle="1" w:styleId="xmsonormal">
    <w:name w:val="x_msonormal"/>
    <w:basedOn w:val="Normln"/>
    <w:rsid w:val="00BE6A4F"/>
    <w:pPr>
      <w:spacing w:line="240" w:lineRule="auto"/>
    </w:pPr>
    <w:rPr>
      <w:rFonts w:ascii="Calibri" w:hAnsi="Calibri" w:cs="Calibri"/>
      <w:sz w:val="22"/>
      <w:lang w:eastAsia="cs-CZ"/>
    </w:rPr>
  </w:style>
  <w:style w:type="character" w:styleId="Zdraznn">
    <w:name w:val="Emphasis"/>
    <w:basedOn w:val="Standardnpsmoodstavce"/>
    <w:uiPriority w:val="20"/>
    <w:qFormat/>
    <w:rsid w:val="00BE6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1321</TotalTime>
  <Pages>6</Pages>
  <Words>1017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12</cp:revision>
  <cp:lastPrinted>2025-02-20T13:28:00Z</cp:lastPrinted>
  <dcterms:created xsi:type="dcterms:W3CDTF">2026-01-12T13:07:00Z</dcterms:created>
  <dcterms:modified xsi:type="dcterms:W3CDTF">2026-01-21T08:14:00Z</dcterms:modified>
</cp:coreProperties>
</file>