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71BB0E02"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3C304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3C3045" w:rsidRPr="003C3045">
        <w:rPr>
          <w:rFonts w:ascii="Arial" w:hAnsi="Arial" w:cs="Arial"/>
          <w:b/>
          <w:i/>
          <w:sz w:val="20"/>
          <w:szCs w:val="20"/>
        </w:rPr>
        <w:t xml:space="preserve">Dodávky léčivých přípravků s účinnou látkou </w:t>
      </w:r>
      <w:r w:rsidR="007C2F72" w:rsidRPr="007C2F72">
        <w:rPr>
          <w:rFonts w:ascii="Arial" w:hAnsi="Arial" w:cs="Arial"/>
          <w:b/>
          <w:i/>
          <w:sz w:val="20"/>
          <w:szCs w:val="20"/>
        </w:rPr>
        <w:t>JOMEPROL</w:t>
      </w:r>
      <w:r w:rsidR="003C3045" w:rsidRPr="003C3045">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B17E40D"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13583F">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40C5CAFA"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3C3045" w:rsidRPr="003C3045">
        <w:rPr>
          <w:rFonts w:ascii="Arial" w:hAnsi="Arial" w:cs="Arial"/>
          <w:snapToGrid w:val="0"/>
          <w:sz w:val="20"/>
          <w:szCs w:val="20"/>
        </w:rPr>
        <w:t>MUDr. Tomášem Hrubým, generálním ředitelem</w:t>
      </w:r>
    </w:p>
    <w:p w14:paraId="277BAEFD" w14:textId="45DE2675" w:rsidR="003C3045" w:rsidRDefault="00171E66" w:rsidP="003C3045">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0640D8F8" w14:textId="09A70D31" w:rsidR="003C3045" w:rsidRPr="00353451" w:rsidRDefault="003C3045" w:rsidP="00171E66">
      <w:pPr>
        <w:widowControl w:val="0"/>
        <w:spacing w:before="60"/>
        <w:jc w:val="both"/>
        <w:rPr>
          <w:rFonts w:ascii="Arial" w:hAnsi="Arial" w:cs="Arial"/>
          <w:snapToGrid w:val="0"/>
          <w:sz w:val="20"/>
          <w:szCs w:val="20"/>
        </w:rPr>
      </w:pPr>
      <w:r w:rsidRPr="009F136F">
        <w:rPr>
          <w:rFonts w:ascii="Arial" w:hAnsi="Arial" w:cs="Arial"/>
          <w:snapToGrid w:val="0"/>
          <w:sz w:val="20"/>
          <w:szCs w:val="20"/>
        </w:rPr>
        <w:t xml:space="preserve">kontakt ve věcech soutěže: </w:t>
      </w:r>
      <w:hyperlink r:id="rId7" w:history="1">
        <w:r w:rsidRPr="00C960D1">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08A138BE"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w:t>
      </w:r>
      <w:r w:rsidRPr="00764102">
        <w:rPr>
          <w:rFonts w:ascii="Arial" w:hAnsi="Arial" w:cs="Arial"/>
          <w:snapToGrid w:val="0"/>
          <w:sz w:val="20"/>
          <w:szCs w:val="20"/>
        </w:rPr>
        <w:t xml:space="preserve">přípravků </w:t>
      </w:r>
      <w:r w:rsidR="003C3045">
        <w:rPr>
          <w:rFonts w:ascii="Arial" w:hAnsi="Arial" w:cs="Arial"/>
          <w:snapToGrid w:val="0"/>
          <w:sz w:val="20"/>
          <w:szCs w:val="20"/>
        </w:rPr>
        <w:t xml:space="preserve">s účinnou látkou </w:t>
      </w:r>
      <w:r w:rsidR="007C2F72" w:rsidRPr="007C2F72">
        <w:rPr>
          <w:rFonts w:ascii="Arial" w:eastAsia="Calibri" w:hAnsi="Arial"/>
          <w:sz w:val="18"/>
          <w:szCs w:val="22"/>
          <w:lang w:eastAsia="en-US"/>
        </w:rPr>
        <w:t>JOMEPROL</w:t>
      </w:r>
      <w:r w:rsidR="00366AE4" w:rsidRPr="00015A8D">
        <w:rPr>
          <w:rFonts w:ascii="Arial" w:hAnsi="Arial" w:cs="Arial"/>
          <w:snapToGrid w:val="0"/>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6485171B" w:rsidR="00171E66" w:rsidRPr="006E1FEC" w:rsidRDefault="00171E66" w:rsidP="007C2F72">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003C3045" w:rsidRPr="003C3045">
        <w:rPr>
          <w:rFonts w:ascii="Arial" w:hAnsi="Arial" w:cs="Arial"/>
          <w:color w:val="auto"/>
          <w:sz w:val="20"/>
        </w:rPr>
        <w:t xml:space="preserve">s účinnou látkou </w:t>
      </w:r>
      <w:r w:rsidR="007C2F72" w:rsidRPr="007C2F72">
        <w:rPr>
          <w:rFonts w:ascii="Arial" w:hAnsi="Arial" w:cs="Arial"/>
          <w:color w:val="auto"/>
          <w:sz w:val="20"/>
        </w:rPr>
        <w:t xml:space="preserve">JOMEPROL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1C070CB8"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35238299" w:rsidR="00171E66" w:rsidRPr="00FE4FC3" w:rsidRDefault="003C3045" w:rsidP="00171E66">
      <w:pPr>
        <w:widowControl w:val="0"/>
        <w:numPr>
          <w:ilvl w:val="0"/>
          <w:numId w:val="4"/>
        </w:numPr>
        <w:spacing w:before="60"/>
        <w:ind w:left="697" w:hanging="357"/>
        <w:jc w:val="both"/>
        <w:rPr>
          <w:rFonts w:ascii="Arial" w:hAnsi="Arial" w:cs="Arial"/>
          <w:sz w:val="20"/>
          <w:szCs w:val="20"/>
        </w:rPr>
      </w:pPr>
      <w:r>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4FFC2048" w:rsidR="00171E66" w:rsidRPr="00FE4FC3" w:rsidRDefault="00DD11B4" w:rsidP="00DD11B4">
      <w:pPr>
        <w:widowControl w:val="0"/>
        <w:numPr>
          <w:ilvl w:val="0"/>
          <w:numId w:val="2"/>
        </w:numPr>
        <w:spacing w:before="60"/>
        <w:ind w:left="360"/>
        <w:jc w:val="both"/>
        <w:rPr>
          <w:rFonts w:ascii="Arial" w:hAnsi="Arial" w:cs="Arial"/>
          <w:sz w:val="20"/>
          <w:szCs w:val="20"/>
        </w:rPr>
      </w:pPr>
      <w:r w:rsidRPr="00DD11B4">
        <w:rPr>
          <w:rFonts w:ascii="Arial" w:hAnsi="Arial" w:cs="Arial"/>
          <w:sz w:val="20"/>
          <w:szCs w:val="20"/>
        </w:rPr>
        <w:t>Prodávající je povinen vystavit k jednotlivé objednávce kupujícího pouze jednu souhrnnou fakturu. Prodávající je v případě, že o to požádá kupující povinen doložit k vystavené faktuře dodací list/y s podpisy o řádném převzetí zboží kupujícím (případně dodací list včetně dokladu o převzetí zboží kupujícím), a to ve lhůtě do 3 pracovních dnů od doručení výzvy kupujícího k předložení dodacího listu. Lhůta splatnosti faktury se prodlužuje o dobu ode dne doručení výše uvedené výzvy do doby doručení řádně dodaného dodacího listu</w:t>
      </w:r>
      <w:r w:rsidR="00171E66"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50D465D8"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009C5F46">
        <w:rPr>
          <w:rFonts w:ascii="Arial" w:hAnsi="Arial" w:cs="Arial"/>
          <w:sz w:val="20"/>
          <w:szCs w:val="20"/>
        </w:rPr>
        <w:t xml:space="preserve"> do 6</w:t>
      </w:r>
      <w:r w:rsidRPr="00FE4FC3">
        <w:rPr>
          <w:rFonts w:ascii="Arial" w:hAnsi="Arial" w:cs="Arial"/>
          <w:sz w:val="20"/>
          <w:szCs w:val="20"/>
        </w:rPr>
        <w:t>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2FFBA98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w:t>
      </w:r>
      <w:r w:rsidR="00DD11B4">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700EC4F0" w:rsidR="00171E66" w:rsidRPr="00016802" w:rsidRDefault="00DD11B4" w:rsidP="00DD11B4">
      <w:pPr>
        <w:numPr>
          <w:ilvl w:val="0"/>
          <w:numId w:val="2"/>
        </w:numPr>
        <w:spacing w:before="60"/>
        <w:ind w:left="360"/>
        <w:jc w:val="both"/>
        <w:rPr>
          <w:rFonts w:ascii="Arial" w:hAnsi="Arial" w:cs="Arial"/>
          <w:sz w:val="20"/>
          <w:szCs w:val="20"/>
        </w:rPr>
      </w:pPr>
      <w:r w:rsidRPr="00DD11B4">
        <w:rPr>
          <w:rFonts w:ascii="Arial" w:hAnsi="Arial" w:cs="Arial"/>
          <w:sz w:val="20"/>
          <w:szCs w:val="20"/>
        </w:rPr>
        <w:t>V případě, že v průběhu smluvního vztahu dojde k nové registraci nebo ke změně registrace léčivého přípravku, nebo dále 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 nejvýše však za cenu ve výši aktuální úhrady ze systému veřejného zdravotního pojištění, pokud je mu tato úhrada přiznána. Tyto změny musí být prodávajícím kupujícímu doloženy bez zbytečného odkladu. Pro tuto změnu není nutné uzavírat dodatek k této rámcové dohodě</w:t>
      </w:r>
      <w:r w:rsidR="00567F31">
        <w:rPr>
          <w:rFonts w:ascii="Arial" w:hAnsi="Arial" w:cs="Arial"/>
          <w:sz w:val="20"/>
          <w:szCs w:val="20"/>
        </w:rPr>
        <w:t>.</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447FB188" w:rsidR="00171E66" w:rsidRPr="00016802" w:rsidRDefault="00DD11B4" w:rsidP="00DD11B4">
      <w:pPr>
        <w:widowControl w:val="0"/>
        <w:numPr>
          <w:ilvl w:val="0"/>
          <w:numId w:val="3"/>
        </w:numPr>
        <w:spacing w:before="60"/>
        <w:jc w:val="both"/>
        <w:rPr>
          <w:rFonts w:ascii="Arial" w:hAnsi="Arial" w:cs="Arial"/>
          <w:snapToGrid w:val="0"/>
          <w:sz w:val="20"/>
          <w:szCs w:val="20"/>
        </w:rPr>
      </w:pPr>
      <w:r w:rsidRPr="00DD11B4">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5850919C"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názvů, kód přidělený léčivým přípravkům Stá</w:t>
      </w:r>
      <w:r w:rsidR="008D1DD3">
        <w:rPr>
          <w:rFonts w:ascii="Arial" w:hAnsi="Arial" w:cs="Arial"/>
          <w:sz w:val="20"/>
          <w:szCs w:val="20"/>
        </w:rPr>
        <w:t>tním ústavem pro kontrolu léčiv</w:t>
      </w:r>
      <w:r w:rsidRPr="0031314E">
        <w:rPr>
          <w:rFonts w:ascii="Arial" w:hAnsi="Arial" w:cs="Arial"/>
          <w:sz w:val="20"/>
          <w:szCs w:val="20"/>
        </w:rPr>
        <w:t>, expirační dobu a</w:t>
      </w:r>
      <w:r w:rsidR="008D1DD3">
        <w:rPr>
          <w:rFonts w:ascii="Arial" w:hAnsi="Arial" w:cs="Arial"/>
          <w:sz w:val="20"/>
          <w:szCs w:val="20"/>
        </w:rPr>
        <w:t> </w:t>
      </w:r>
      <w:r w:rsidRPr="0031314E">
        <w:rPr>
          <w:rFonts w:ascii="Arial" w:hAnsi="Arial" w:cs="Arial"/>
          <w:sz w:val="20"/>
          <w:szCs w:val="20"/>
        </w:rPr>
        <w:t xml:space="preserve">šarži. </w:t>
      </w:r>
    </w:p>
    <w:p w14:paraId="13428313" w14:textId="261981F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4DCAF84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w:t>
      </w:r>
      <w:r w:rsidR="008D1DD3">
        <w:rPr>
          <w:rFonts w:ascii="Arial" w:hAnsi="Arial" w:cs="Arial"/>
          <w:sz w:val="20"/>
          <w:szCs w:val="20"/>
        </w:rPr>
        <w:t>dodací list v</w:t>
      </w:r>
      <w:r w:rsidRPr="000C253C">
        <w:rPr>
          <w:rFonts w:ascii="Arial" w:hAnsi="Arial" w:cs="Arial"/>
          <w:sz w:val="20"/>
          <w:szCs w:val="20"/>
        </w:rPr>
        <w:t xml:space="preserve"> písemné podob</w:t>
      </w:r>
      <w:r w:rsidR="008D1DD3">
        <w:rPr>
          <w:rFonts w:ascii="Arial" w:hAnsi="Arial" w:cs="Arial"/>
          <w:sz w:val="20"/>
          <w:szCs w:val="20"/>
        </w:rPr>
        <w:t>ě (listinné nebo elektronické), a dále je-li to možné i v elektronické podobě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54572F3A"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w:t>
      </w:r>
      <w:r w:rsidR="008D1DD3">
        <w:rPr>
          <w:rFonts w:ascii="Arial" w:hAnsi="Arial" w:cs="Arial"/>
          <w:sz w:val="20"/>
          <w:szCs w:val="20"/>
        </w:rPr>
        <w:t>01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6D6D83BF"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 xml:space="preserve">Úrok z prodlení a smluvní pokuta jsou splatné do </w:t>
      </w:r>
      <w:r w:rsidR="008D1DD3">
        <w:rPr>
          <w:rFonts w:ascii="Arial" w:hAnsi="Arial" w:cs="Arial"/>
          <w:sz w:val="20"/>
        </w:rPr>
        <w:t>30</w:t>
      </w:r>
      <w:r w:rsidR="009C5F46">
        <w:rPr>
          <w:rFonts w:ascii="Arial" w:hAnsi="Arial" w:cs="Arial"/>
          <w:sz w:val="20"/>
        </w:rPr>
        <w:t xml:space="preserve"> dní ode dne 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541BCB6A"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9C5F46" w:rsidRPr="009C5F46">
        <w:rPr>
          <w:rFonts w:ascii="Arial" w:hAnsi="Arial" w:cs="Arial"/>
          <w:b/>
          <w:sz w:val="20"/>
          <w:szCs w:val="20"/>
        </w:rPr>
        <w:t>(</w:t>
      </w:r>
      <w:r w:rsidR="009C5F46" w:rsidRPr="009C5F46">
        <w:rPr>
          <w:rFonts w:ascii="Arial" w:hAnsi="Arial" w:cs="Arial"/>
          <w:b/>
          <w:sz w:val="20"/>
          <w:szCs w:val="20"/>
          <w:highlight w:val="yellow"/>
        </w:rPr>
        <w:t>doplnit 1,2 násobek ceny za předpokládané množství léčivých přípravků, které kupující předpokládá odebrat na základě této rámcové dohody</w:t>
      </w:r>
      <w:r w:rsidR="009C5F46" w:rsidRPr="009C5F46">
        <w:rPr>
          <w:rFonts w:ascii="Arial" w:hAnsi="Arial" w:cs="Arial"/>
          <w:b/>
          <w:sz w:val="20"/>
          <w:szCs w:val="20"/>
        </w:rPr>
        <w:t xml:space="preserve">) </w:t>
      </w:r>
      <w:r w:rsidR="00DA1C1F" w:rsidRPr="009C5F46">
        <w:rPr>
          <w:rFonts w:ascii="Arial" w:hAnsi="Arial" w:cs="Arial"/>
          <w:b/>
          <w:sz w:val="20"/>
          <w:szCs w:val="20"/>
        </w:rPr>
        <w:t>Kč bez DPH</w:t>
      </w:r>
      <w:r w:rsidR="00DA1C1F" w:rsidRPr="00DA1C1F">
        <w:rPr>
          <w:rFonts w:ascii="Arial" w:hAnsi="Arial" w:cs="Arial"/>
          <w:sz w:val="20"/>
          <w:szCs w:val="20"/>
        </w:rPr>
        <w:t xml:space="preserve">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lastRenderedPageBreak/>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DED089D"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69704BA5" w14:textId="7ACE5F4C" w:rsidR="009C5F46" w:rsidRPr="009C5F46" w:rsidRDefault="009C5F46" w:rsidP="009C5F46">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4CC7D8D0" w:rsidR="00171E66" w:rsidRDefault="00171E66" w:rsidP="00171E66">
      <w:pPr>
        <w:pStyle w:val="Zkladntext"/>
        <w:ind w:left="360"/>
        <w:rPr>
          <w:rFonts w:ascii="Arial" w:hAnsi="Arial" w:cs="Arial"/>
          <w:color w:val="00000A"/>
          <w:sz w:val="20"/>
        </w:rPr>
      </w:pPr>
    </w:p>
    <w:p w14:paraId="29D5760F" w14:textId="5996452C" w:rsidR="00B52563" w:rsidRDefault="00B52563" w:rsidP="00171E66">
      <w:pPr>
        <w:pStyle w:val="Zkladntext"/>
        <w:ind w:left="360"/>
        <w:rPr>
          <w:rFonts w:ascii="Arial" w:hAnsi="Arial" w:cs="Arial"/>
          <w:color w:val="00000A"/>
          <w:sz w:val="20"/>
        </w:rPr>
      </w:pPr>
    </w:p>
    <w:p w14:paraId="74E88AEA" w14:textId="77777777" w:rsidR="00B52563" w:rsidRPr="003673A0" w:rsidRDefault="00B52563"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2A1BE564"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13583F" w:rsidRPr="0013583F">
        <w:rPr>
          <w:rFonts w:ascii="Arial" w:hAnsi="Arial" w:cs="Arial"/>
          <w:color w:val="00000A"/>
          <w:sz w:val="20"/>
        </w:rPr>
        <w:t>MUDr. Tomáš Hrubý</w:t>
      </w:r>
    </w:p>
    <w:p w14:paraId="41236D47" w14:textId="4554D34F" w:rsidR="00B167CC" w:rsidRPr="00B52563" w:rsidRDefault="00171E66" w:rsidP="00B52563">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13583F">
        <w:rPr>
          <w:rFonts w:ascii="Arial" w:hAnsi="Arial" w:cs="Arial"/>
          <w:color w:val="00000A"/>
          <w:sz w:val="20"/>
        </w:rPr>
        <w:t xml:space="preserve">      </w:t>
      </w:r>
      <w:r w:rsidR="0013583F" w:rsidRPr="0013583F">
        <w:rPr>
          <w:rFonts w:ascii="Arial" w:hAnsi="Arial" w:cs="Arial"/>
          <w:color w:val="00000A"/>
          <w:sz w:val="20"/>
        </w:rPr>
        <w:t>generální ředitel Krajské zdravotní, a.s.</w:t>
      </w:r>
      <w:r w:rsidR="0013583F">
        <w:rPr>
          <w:rFonts w:ascii="Arial" w:hAnsi="Arial" w:cs="Arial"/>
          <w:color w:val="00000A"/>
          <w:sz w:val="20"/>
        </w:rPr>
        <w:t xml:space="preserve"> </w:t>
      </w:r>
      <w:r w:rsidR="00B167CC">
        <w:br w:type="page"/>
      </w:r>
    </w:p>
    <w:p w14:paraId="7BA243A2" w14:textId="77777777" w:rsidR="00B167CC" w:rsidRDefault="00B167CC" w:rsidP="00B167CC">
      <w:pPr>
        <w:rPr>
          <w:rFonts w:ascii="Arial" w:hAnsi="Arial" w:cs="Arial"/>
          <w:b/>
          <w:bCs/>
          <w:color w:val="000000"/>
          <w:sz w:val="22"/>
        </w:rPr>
        <w:sectPr w:rsidR="00B167CC" w:rsidSect="00AA6212">
          <w:headerReference w:type="even" r:id="rId8"/>
          <w:headerReference w:type="default" r:id="rId9"/>
          <w:footerReference w:type="even" r:id="rId10"/>
          <w:footerReference w:type="default" r:id="rId11"/>
          <w:headerReference w:type="first" r:id="rId12"/>
          <w:footerReference w:type="first" r:id="rId13"/>
          <w:pgSz w:w="11909" w:h="16834"/>
          <w:pgMar w:top="1203" w:right="1417" w:bottom="1079" w:left="1417" w:header="708" w:footer="289" w:gutter="0"/>
          <w:cols w:space="708"/>
          <w:noEndnote/>
        </w:sectPr>
      </w:pPr>
    </w:p>
    <w:tbl>
      <w:tblPr>
        <w:tblW w:w="5256" w:type="pct"/>
        <w:tblInd w:w="-284" w:type="dxa"/>
        <w:tblCellMar>
          <w:left w:w="70" w:type="dxa"/>
          <w:right w:w="70" w:type="dxa"/>
        </w:tblCellMar>
        <w:tblLook w:val="04A0" w:firstRow="1" w:lastRow="0" w:firstColumn="1" w:lastColumn="0" w:noHBand="0" w:noVBand="1"/>
      </w:tblPr>
      <w:tblGrid>
        <w:gridCol w:w="851"/>
        <w:gridCol w:w="2475"/>
        <w:gridCol w:w="1355"/>
        <w:gridCol w:w="1208"/>
        <w:gridCol w:w="1258"/>
        <w:gridCol w:w="443"/>
        <w:gridCol w:w="389"/>
        <w:gridCol w:w="979"/>
        <w:gridCol w:w="514"/>
        <w:gridCol w:w="1223"/>
        <w:gridCol w:w="171"/>
        <w:gridCol w:w="1215"/>
        <w:gridCol w:w="665"/>
        <w:gridCol w:w="367"/>
        <w:gridCol w:w="805"/>
        <w:gridCol w:w="202"/>
        <w:gridCol w:w="578"/>
        <w:gridCol w:w="456"/>
        <w:gridCol w:w="146"/>
      </w:tblGrid>
      <w:tr w:rsidR="00B167CC" w:rsidRPr="00B167CC" w14:paraId="0D6AE83F" w14:textId="77777777" w:rsidTr="00B52563">
        <w:trPr>
          <w:trHeight w:val="315"/>
        </w:trPr>
        <w:tc>
          <w:tcPr>
            <w:tcW w:w="2336" w:type="pct"/>
            <w:gridSpan w:val="5"/>
            <w:tcBorders>
              <w:top w:val="nil"/>
              <w:left w:val="nil"/>
              <w:bottom w:val="nil"/>
              <w:right w:val="nil"/>
            </w:tcBorders>
            <w:shd w:val="clear" w:color="auto" w:fill="auto"/>
            <w:noWrap/>
            <w:vAlign w:val="bottom"/>
            <w:hideMark/>
          </w:tcPr>
          <w:p w14:paraId="2E62EEED" w14:textId="49451E25" w:rsidR="00B167CC" w:rsidRPr="00B167CC" w:rsidRDefault="00B167CC" w:rsidP="00B167CC">
            <w:pPr>
              <w:rPr>
                <w:rFonts w:ascii="Arial" w:hAnsi="Arial" w:cs="Arial"/>
                <w:b/>
                <w:bCs/>
                <w:color w:val="000000"/>
                <w:sz w:val="22"/>
              </w:rPr>
            </w:pPr>
            <w:r w:rsidRPr="00B167CC">
              <w:rPr>
                <w:rFonts w:ascii="Arial" w:hAnsi="Arial" w:cs="Arial"/>
                <w:b/>
                <w:bCs/>
                <w:color w:val="000000"/>
                <w:sz w:val="22"/>
              </w:rPr>
              <w:lastRenderedPageBreak/>
              <w:t>Příloha č. 1:  Specifikace a podklad pro zpracování cenové nabídky</w:t>
            </w:r>
          </w:p>
        </w:tc>
        <w:tc>
          <w:tcPr>
            <w:tcW w:w="272" w:type="pct"/>
            <w:gridSpan w:val="2"/>
            <w:tcBorders>
              <w:top w:val="nil"/>
              <w:left w:val="nil"/>
              <w:bottom w:val="nil"/>
              <w:right w:val="nil"/>
            </w:tcBorders>
            <w:shd w:val="clear" w:color="auto" w:fill="auto"/>
            <w:noWrap/>
            <w:vAlign w:val="bottom"/>
            <w:hideMark/>
          </w:tcPr>
          <w:p w14:paraId="2474C088" w14:textId="77777777" w:rsidR="00B167CC" w:rsidRPr="00B167CC" w:rsidRDefault="00B167CC" w:rsidP="00B167CC">
            <w:pPr>
              <w:rPr>
                <w:rFonts w:ascii="Arial" w:hAnsi="Arial" w:cs="Arial"/>
                <w:b/>
                <w:bCs/>
                <w:color w:val="000000"/>
                <w:sz w:val="22"/>
              </w:rPr>
            </w:pPr>
          </w:p>
        </w:tc>
        <w:tc>
          <w:tcPr>
            <w:tcW w:w="488" w:type="pct"/>
            <w:gridSpan w:val="2"/>
            <w:tcBorders>
              <w:top w:val="nil"/>
              <w:left w:val="nil"/>
              <w:bottom w:val="nil"/>
              <w:right w:val="nil"/>
            </w:tcBorders>
            <w:shd w:val="clear" w:color="auto" w:fill="auto"/>
            <w:noWrap/>
            <w:vAlign w:val="bottom"/>
            <w:hideMark/>
          </w:tcPr>
          <w:p w14:paraId="2E0AF15B" w14:textId="77777777" w:rsidR="00B167CC" w:rsidRPr="00B167CC" w:rsidRDefault="00B167CC" w:rsidP="00B167CC">
            <w:pPr>
              <w:rPr>
                <w:sz w:val="20"/>
                <w:szCs w:val="20"/>
              </w:rPr>
            </w:pPr>
          </w:p>
        </w:tc>
        <w:tc>
          <w:tcPr>
            <w:tcW w:w="456" w:type="pct"/>
            <w:gridSpan w:val="2"/>
            <w:tcBorders>
              <w:top w:val="nil"/>
              <w:left w:val="nil"/>
              <w:bottom w:val="nil"/>
              <w:right w:val="nil"/>
            </w:tcBorders>
            <w:shd w:val="clear" w:color="auto" w:fill="auto"/>
            <w:noWrap/>
            <w:vAlign w:val="bottom"/>
            <w:hideMark/>
          </w:tcPr>
          <w:p w14:paraId="74DA02A0" w14:textId="77777777" w:rsidR="00B167CC" w:rsidRPr="00B167CC" w:rsidRDefault="00B167CC" w:rsidP="00B167CC">
            <w:pPr>
              <w:rPr>
                <w:sz w:val="20"/>
                <w:szCs w:val="20"/>
              </w:rPr>
            </w:pPr>
          </w:p>
        </w:tc>
        <w:tc>
          <w:tcPr>
            <w:tcW w:w="614" w:type="pct"/>
            <w:gridSpan w:val="2"/>
            <w:tcBorders>
              <w:top w:val="nil"/>
              <w:left w:val="nil"/>
              <w:bottom w:val="nil"/>
              <w:right w:val="nil"/>
            </w:tcBorders>
            <w:shd w:val="clear" w:color="auto" w:fill="auto"/>
            <w:noWrap/>
            <w:vAlign w:val="bottom"/>
            <w:hideMark/>
          </w:tcPr>
          <w:p w14:paraId="6AA3BAC5"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26410124" w14:textId="77777777" w:rsidR="00B167CC" w:rsidRPr="00B167CC" w:rsidRDefault="00B167CC" w:rsidP="00B167CC">
            <w:pPr>
              <w:rPr>
                <w:sz w:val="20"/>
                <w:szCs w:val="20"/>
              </w:rPr>
            </w:pPr>
          </w:p>
        </w:tc>
        <w:tc>
          <w:tcPr>
            <w:tcW w:w="255" w:type="pct"/>
            <w:gridSpan w:val="2"/>
            <w:tcBorders>
              <w:top w:val="nil"/>
              <w:left w:val="nil"/>
              <w:bottom w:val="nil"/>
              <w:right w:val="nil"/>
            </w:tcBorders>
            <w:shd w:val="clear" w:color="auto" w:fill="auto"/>
            <w:noWrap/>
            <w:vAlign w:val="bottom"/>
            <w:hideMark/>
          </w:tcPr>
          <w:p w14:paraId="26D5994C" w14:textId="77777777" w:rsidR="00B167CC" w:rsidRPr="00B167CC" w:rsidRDefault="00B167CC" w:rsidP="00B167CC">
            <w:pPr>
              <w:rPr>
                <w:sz w:val="20"/>
                <w:szCs w:val="20"/>
              </w:rPr>
            </w:pPr>
          </w:p>
        </w:tc>
        <w:tc>
          <w:tcPr>
            <w:tcW w:w="149" w:type="pct"/>
            <w:tcBorders>
              <w:top w:val="nil"/>
              <w:left w:val="nil"/>
              <w:bottom w:val="nil"/>
              <w:right w:val="nil"/>
            </w:tcBorders>
            <w:shd w:val="clear" w:color="auto" w:fill="auto"/>
            <w:noWrap/>
            <w:vAlign w:val="bottom"/>
            <w:hideMark/>
          </w:tcPr>
          <w:p w14:paraId="6B66BC91"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5F5CFD36" w14:textId="77777777" w:rsidR="00B167CC" w:rsidRPr="00B167CC" w:rsidRDefault="00B167CC" w:rsidP="00B167CC">
            <w:pPr>
              <w:rPr>
                <w:sz w:val="20"/>
                <w:szCs w:val="20"/>
              </w:rPr>
            </w:pPr>
          </w:p>
        </w:tc>
      </w:tr>
      <w:tr w:rsidR="00B167CC" w:rsidRPr="00B167CC" w14:paraId="254FF480" w14:textId="77777777" w:rsidTr="00B52563">
        <w:trPr>
          <w:trHeight w:val="315"/>
        </w:trPr>
        <w:tc>
          <w:tcPr>
            <w:tcW w:w="278" w:type="pct"/>
            <w:tcBorders>
              <w:top w:val="nil"/>
              <w:left w:val="nil"/>
              <w:bottom w:val="nil"/>
              <w:right w:val="nil"/>
            </w:tcBorders>
            <w:shd w:val="clear" w:color="auto" w:fill="auto"/>
            <w:noWrap/>
            <w:vAlign w:val="bottom"/>
            <w:hideMark/>
          </w:tcPr>
          <w:p w14:paraId="595C7461" w14:textId="77777777" w:rsidR="00B167CC" w:rsidRPr="00B167CC" w:rsidRDefault="00B167CC" w:rsidP="00B167CC">
            <w:pPr>
              <w:rPr>
                <w:sz w:val="20"/>
                <w:szCs w:val="20"/>
              </w:rPr>
            </w:pPr>
          </w:p>
        </w:tc>
        <w:tc>
          <w:tcPr>
            <w:tcW w:w="809" w:type="pct"/>
            <w:tcBorders>
              <w:top w:val="nil"/>
              <w:left w:val="nil"/>
              <w:bottom w:val="nil"/>
              <w:right w:val="nil"/>
            </w:tcBorders>
            <w:shd w:val="clear" w:color="auto" w:fill="auto"/>
            <w:noWrap/>
            <w:vAlign w:val="bottom"/>
            <w:hideMark/>
          </w:tcPr>
          <w:p w14:paraId="4AE98F9E" w14:textId="77777777" w:rsidR="00B167CC" w:rsidRPr="00B167CC" w:rsidRDefault="00B167CC" w:rsidP="00B167CC">
            <w:pPr>
              <w:rPr>
                <w:sz w:val="20"/>
                <w:szCs w:val="20"/>
              </w:rPr>
            </w:pPr>
          </w:p>
        </w:tc>
        <w:tc>
          <w:tcPr>
            <w:tcW w:w="443" w:type="pct"/>
            <w:tcBorders>
              <w:top w:val="nil"/>
              <w:left w:val="nil"/>
              <w:bottom w:val="nil"/>
              <w:right w:val="nil"/>
            </w:tcBorders>
            <w:shd w:val="clear" w:color="auto" w:fill="auto"/>
            <w:noWrap/>
            <w:vAlign w:val="bottom"/>
            <w:hideMark/>
          </w:tcPr>
          <w:p w14:paraId="7D378D31" w14:textId="77777777" w:rsidR="00B167CC" w:rsidRPr="00B167CC" w:rsidRDefault="00B167CC" w:rsidP="00B167CC">
            <w:pPr>
              <w:rPr>
                <w:sz w:val="20"/>
                <w:szCs w:val="20"/>
              </w:rPr>
            </w:pPr>
          </w:p>
        </w:tc>
        <w:tc>
          <w:tcPr>
            <w:tcW w:w="806" w:type="pct"/>
            <w:gridSpan w:val="2"/>
            <w:tcBorders>
              <w:top w:val="nil"/>
              <w:left w:val="nil"/>
              <w:bottom w:val="nil"/>
              <w:right w:val="nil"/>
            </w:tcBorders>
            <w:shd w:val="clear" w:color="auto" w:fill="auto"/>
            <w:noWrap/>
            <w:vAlign w:val="bottom"/>
            <w:hideMark/>
          </w:tcPr>
          <w:p w14:paraId="5730871D" w14:textId="77777777" w:rsidR="00B167CC" w:rsidRPr="00B167CC" w:rsidRDefault="00B167CC" w:rsidP="00B167CC">
            <w:pPr>
              <w:rPr>
                <w:sz w:val="20"/>
                <w:szCs w:val="20"/>
              </w:rPr>
            </w:pPr>
          </w:p>
        </w:tc>
        <w:tc>
          <w:tcPr>
            <w:tcW w:w="272" w:type="pct"/>
            <w:gridSpan w:val="2"/>
            <w:tcBorders>
              <w:top w:val="nil"/>
              <w:left w:val="nil"/>
              <w:bottom w:val="nil"/>
              <w:right w:val="nil"/>
            </w:tcBorders>
            <w:shd w:val="clear" w:color="auto" w:fill="auto"/>
            <w:noWrap/>
            <w:vAlign w:val="bottom"/>
            <w:hideMark/>
          </w:tcPr>
          <w:p w14:paraId="7BBC362E" w14:textId="77777777" w:rsidR="00B167CC" w:rsidRPr="00B167CC" w:rsidRDefault="00B167CC" w:rsidP="00B167CC">
            <w:pPr>
              <w:rPr>
                <w:sz w:val="20"/>
                <w:szCs w:val="20"/>
              </w:rPr>
            </w:pPr>
          </w:p>
        </w:tc>
        <w:tc>
          <w:tcPr>
            <w:tcW w:w="488" w:type="pct"/>
            <w:gridSpan w:val="2"/>
            <w:tcBorders>
              <w:top w:val="nil"/>
              <w:left w:val="nil"/>
              <w:bottom w:val="nil"/>
              <w:right w:val="nil"/>
            </w:tcBorders>
            <w:shd w:val="clear" w:color="auto" w:fill="auto"/>
            <w:noWrap/>
            <w:vAlign w:val="bottom"/>
            <w:hideMark/>
          </w:tcPr>
          <w:p w14:paraId="7E7769F5" w14:textId="77777777" w:rsidR="00B167CC" w:rsidRPr="00B167CC" w:rsidRDefault="00B167CC" w:rsidP="00B167CC">
            <w:pPr>
              <w:rPr>
                <w:sz w:val="20"/>
                <w:szCs w:val="20"/>
              </w:rPr>
            </w:pPr>
          </w:p>
        </w:tc>
        <w:tc>
          <w:tcPr>
            <w:tcW w:w="456" w:type="pct"/>
            <w:gridSpan w:val="2"/>
            <w:tcBorders>
              <w:top w:val="nil"/>
              <w:left w:val="nil"/>
              <w:bottom w:val="nil"/>
              <w:right w:val="nil"/>
            </w:tcBorders>
            <w:shd w:val="clear" w:color="auto" w:fill="auto"/>
            <w:noWrap/>
            <w:vAlign w:val="bottom"/>
            <w:hideMark/>
          </w:tcPr>
          <w:p w14:paraId="4628E7E5" w14:textId="77777777" w:rsidR="00B167CC" w:rsidRPr="00B167CC" w:rsidRDefault="00B167CC" w:rsidP="00B167CC">
            <w:pPr>
              <w:rPr>
                <w:sz w:val="20"/>
                <w:szCs w:val="20"/>
              </w:rPr>
            </w:pPr>
          </w:p>
        </w:tc>
        <w:tc>
          <w:tcPr>
            <w:tcW w:w="614" w:type="pct"/>
            <w:gridSpan w:val="2"/>
            <w:tcBorders>
              <w:top w:val="nil"/>
              <w:left w:val="nil"/>
              <w:bottom w:val="nil"/>
              <w:right w:val="nil"/>
            </w:tcBorders>
            <w:shd w:val="clear" w:color="auto" w:fill="auto"/>
            <w:noWrap/>
            <w:vAlign w:val="bottom"/>
            <w:hideMark/>
          </w:tcPr>
          <w:p w14:paraId="2A551AD4"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1DF2FA4E" w14:textId="77777777" w:rsidR="00B167CC" w:rsidRPr="00B167CC" w:rsidRDefault="00B167CC" w:rsidP="00B167CC">
            <w:pPr>
              <w:rPr>
                <w:sz w:val="20"/>
                <w:szCs w:val="20"/>
              </w:rPr>
            </w:pPr>
          </w:p>
        </w:tc>
        <w:tc>
          <w:tcPr>
            <w:tcW w:w="255" w:type="pct"/>
            <w:gridSpan w:val="2"/>
            <w:tcBorders>
              <w:top w:val="nil"/>
              <w:left w:val="nil"/>
              <w:bottom w:val="nil"/>
              <w:right w:val="nil"/>
            </w:tcBorders>
            <w:shd w:val="clear" w:color="auto" w:fill="auto"/>
            <w:noWrap/>
            <w:vAlign w:val="bottom"/>
            <w:hideMark/>
          </w:tcPr>
          <w:p w14:paraId="0D793A29" w14:textId="77777777" w:rsidR="00B167CC" w:rsidRPr="00B167CC" w:rsidRDefault="00B167CC" w:rsidP="00B167CC">
            <w:pPr>
              <w:rPr>
                <w:sz w:val="20"/>
                <w:szCs w:val="20"/>
              </w:rPr>
            </w:pPr>
          </w:p>
        </w:tc>
        <w:tc>
          <w:tcPr>
            <w:tcW w:w="149" w:type="pct"/>
            <w:tcBorders>
              <w:top w:val="nil"/>
              <w:left w:val="nil"/>
              <w:bottom w:val="nil"/>
              <w:right w:val="nil"/>
            </w:tcBorders>
            <w:shd w:val="clear" w:color="auto" w:fill="auto"/>
            <w:noWrap/>
            <w:vAlign w:val="bottom"/>
            <w:hideMark/>
          </w:tcPr>
          <w:p w14:paraId="7EB8F6BB"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18DE5AD9" w14:textId="77777777" w:rsidR="00B167CC" w:rsidRPr="00B167CC" w:rsidRDefault="00B167CC" w:rsidP="00B167CC">
            <w:pPr>
              <w:rPr>
                <w:sz w:val="20"/>
                <w:szCs w:val="20"/>
              </w:rPr>
            </w:pPr>
          </w:p>
        </w:tc>
      </w:tr>
      <w:tr w:rsidR="00B167CC" w:rsidRPr="00B167CC" w14:paraId="3C7EF442" w14:textId="77777777" w:rsidTr="00B52563">
        <w:trPr>
          <w:trHeight w:val="315"/>
        </w:trPr>
        <w:tc>
          <w:tcPr>
            <w:tcW w:w="278" w:type="pct"/>
            <w:tcBorders>
              <w:top w:val="nil"/>
              <w:left w:val="nil"/>
              <w:bottom w:val="nil"/>
              <w:right w:val="nil"/>
            </w:tcBorders>
            <w:shd w:val="clear" w:color="auto" w:fill="auto"/>
            <w:noWrap/>
            <w:vAlign w:val="bottom"/>
            <w:hideMark/>
          </w:tcPr>
          <w:p w14:paraId="076398C9" w14:textId="77777777" w:rsidR="00B167CC" w:rsidRPr="00B167CC" w:rsidRDefault="00B167CC" w:rsidP="00B167CC">
            <w:pPr>
              <w:rPr>
                <w:sz w:val="20"/>
                <w:szCs w:val="20"/>
              </w:rPr>
            </w:pPr>
          </w:p>
        </w:tc>
        <w:tc>
          <w:tcPr>
            <w:tcW w:w="809" w:type="pct"/>
            <w:tcBorders>
              <w:top w:val="nil"/>
              <w:left w:val="nil"/>
              <w:bottom w:val="nil"/>
              <w:right w:val="nil"/>
            </w:tcBorders>
            <w:shd w:val="clear" w:color="auto" w:fill="auto"/>
            <w:noWrap/>
            <w:vAlign w:val="bottom"/>
            <w:hideMark/>
          </w:tcPr>
          <w:p w14:paraId="12E91909" w14:textId="77777777" w:rsidR="00B167CC" w:rsidRPr="00B167CC" w:rsidRDefault="00B167CC" w:rsidP="00B167CC">
            <w:pPr>
              <w:jc w:val="right"/>
              <w:rPr>
                <w:sz w:val="20"/>
                <w:szCs w:val="20"/>
              </w:rPr>
            </w:pPr>
          </w:p>
        </w:tc>
        <w:tc>
          <w:tcPr>
            <w:tcW w:w="443" w:type="pct"/>
            <w:tcBorders>
              <w:top w:val="nil"/>
              <w:left w:val="nil"/>
              <w:bottom w:val="nil"/>
              <w:right w:val="nil"/>
            </w:tcBorders>
            <w:shd w:val="clear" w:color="auto" w:fill="auto"/>
            <w:noWrap/>
            <w:vAlign w:val="bottom"/>
            <w:hideMark/>
          </w:tcPr>
          <w:p w14:paraId="137222B9" w14:textId="77777777" w:rsidR="00B167CC" w:rsidRPr="00B167CC" w:rsidRDefault="00B167CC" w:rsidP="00B167CC">
            <w:pPr>
              <w:rPr>
                <w:sz w:val="20"/>
                <w:szCs w:val="20"/>
              </w:rPr>
            </w:pPr>
          </w:p>
        </w:tc>
        <w:tc>
          <w:tcPr>
            <w:tcW w:w="806" w:type="pct"/>
            <w:gridSpan w:val="2"/>
            <w:tcBorders>
              <w:top w:val="nil"/>
              <w:left w:val="nil"/>
              <w:bottom w:val="nil"/>
              <w:right w:val="nil"/>
            </w:tcBorders>
            <w:shd w:val="clear" w:color="auto" w:fill="auto"/>
            <w:noWrap/>
            <w:vAlign w:val="bottom"/>
            <w:hideMark/>
          </w:tcPr>
          <w:p w14:paraId="1CAACC61" w14:textId="77777777" w:rsidR="00B167CC" w:rsidRPr="00B167CC" w:rsidRDefault="00B167CC" w:rsidP="00B167CC">
            <w:pPr>
              <w:rPr>
                <w:sz w:val="20"/>
                <w:szCs w:val="20"/>
              </w:rPr>
            </w:pPr>
          </w:p>
        </w:tc>
        <w:tc>
          <w:tcPr>
            <w:tcW w:w="272" w:type="pct"/>
            <w:gridSpan w:val="2"/>
            <w:tcBorders>
              <w:top w:val="nil"/>
              <w:left w:val="nil"/>
              <w:bottom w:val="nil"/>
              <w:right w:val="nil"/>
            </w:tcBorders>
            <w:shd w:val="clear" w:color="auto" w:fill="auto"/>
            <w:noWrap/>
            <w:vAlign w:val="bottom"/>
            <w:hideMark/>
          </w:tcPr>
          <w:p w14:paraId="5F6F6F6A" w14:textId="77777777" w:rsidR="00B167CC" w:rsidRPr="00B167CC" w:rsidRDefault="00B167CC" w:rsidP="00B167CC">
            <w:pPr>
              <w:rPr>
                <w:sz w:val="20"/>
                <w:szCs w:val="20"/>
              </w:rPr>
            </w:pPr>
          </w:p>
        </w:tc>
        <w:tc>
          <w:tcPr>
            <w:tcW w:w="488" w:type="pct"/>
            <w:gridSpan w:val="2"/>
            <w:tcBorders>
              <w:top w:val="nil"/>
              <w:left w:val="nil"/>
              <w:bottom w:val="nil"/>
              <w:right w:val="nil"/>
            </w:tcBorders>
            <w:shd w:val="clear" w:color="auto" w:fill="auto"/>
            <w:noWrap/>
            <w:vAlign w:val="bottom"/>
            <w:hideMark/>
          </w:tcPr>
          <w:p w14:paraId="51122EF7" w14:textId="77777777" w:rsidR="00B167CC" w:rsidRPr="00B167CC" w:rsidRDefault="00B167CC" w:rsidP="00B167CC">
            <w:pPr>
              <w:rPr>
                <w:sz w:val="20"/>
                <w:szCs w:val="20"/>
              </w:rPr>
            </w:pPr>
          </w:p>
        </w:tc>
        <w:tc>
          <w:tcPr>
            <w:tcW w:w="456" w:type="pct"/>
            <w:gridSpan w:val="2"/>
            <w:tcBorders>
              <w:top w:val="nil"/>
              <w:left w:val="nil"/>
              <w:bottom w:val="nil"/>
              <w:right w:val="nil"/>
            </w:tcBorders>
            <w:shd w:val="clear" w:color="auto" w:fill="auto"/>
            <w:noWrap/>
            <w:vAlign w:val="bottom"/>
            <w:hideMark/>
          </w:tcPr>
          <w:p w14:paraId="41A0A46E" w14:textId="77777777" w:rsidR="00B167CC" w:rsidRPr="00B167CC" w:rsidRDefault="00B167CC" w:rsidP="00B167CC">
            <w:pPr>
              <w:rPr>
                <w:sz w:val="20"/>
                <w:szCs w:val="20"/>
              </w:rPr>
            </w:pPr>
          </w:p>
        </w:tc>
        <w:tc>
          <w:tcPr>
            <w:tcW w:w="614" w:type="pct"/>
            <w:gridSpan w:val="2"/>
            <w:tcBorders>
              <w:top w:val="nil"/>
              <w:left w:val="nil"/>
              <w:bottom w:val="nil"/>
              <w:right w:val="nil"/>
            </w:tcBorders>
            <w:shd w:val="clear" w:color="auto" w:fill="auto"/>
            <w:noWrap/>
            <w:vAlign w:val="bottom"/>
            <w:hideMark/>
          </w:tcPr>
          <w:p w14:paraId="4AD0DC9D"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49AC45E8" w14:textId="77777777" w:rsidR="00B167CC" w:rsidRPr="00B167CC" w:rsidRDefault="00B167CC" w:rsidP="00B167CC">
            <w:pPr>
              <w:rPr>
                <w:sz w:val="20"/>
                <w:szCs w:val="20"/>
              </w:rPr>
            </w:pPr>
          </w:p>
        </w:tc>
        <w:tc>
          <w:tcPr>
            <w:tcW w:w="255" w:type="pct"/>
            <w:gridSpan w:val="2"/>
            <w:tcBorders>
              <w:top w:val="nil"/>
              <w:left w:val="nil"/>
              <w:bottom w:val="nil"/>
              <w:right w:val="nil"/>
            </w:tcBorders>
            <w:shd w:val="clear" w:color="auto" w:fill="auto"/>
            <w:noWrap/>
            <w:vAlign w:val="bottom"/>
            <w:hideMark/>
          </w:tcPr>
          <w:p w14:paraId="7102AB12" w14:textId="77777777" w:rsidR="00B167CC" w:rsidRPr="00B167CC" w:rsidRDefault="00B167CC" w:rsidP="00B167CC">
            <w:pPr>
              <w:rPr>
                <w:sz w:val="20"/>
                <w:szCs w:val="20"/>
              </w:rPr>
            </w:pPr>
          </w:p>
        </w:tc>
        <w:tc>
          <w:tcPr>
            <w:tcW w:w="149" w:type="pct"/>
            <w:tcBorders>
              <w:top w:val="nil"/>
              <w:left w:val="nil"/>
              <w:bottom w:val="nil"/>
              <w:right w:val="nil"/>
            </w:tcBorders>
            <w:shd w:val="clear" w:color="auto" w:fill="auto"/>
            <w:noWrap/>
            <w:vAlign w:val="bottom"/>
            <w:hideMark/>
          </w:tcPr>
          <w:p w14:paraId="0E69D0EC"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0C80991F" w14:textId="77777777" w:rsidR="00B167CC" w:rsidRPr="00B167CC" w:rsidRDefault="00B167CC" w:rsidP="00B167CC">
            <w:pPr>
              <w:rPr>
                <w:sz w:val="20"/>
                <w:szCs w:val="20"/>
              </w:rPr>
            </w:pPr>
          </w:p>
        </w:tc>
      </w:tr>
      <w:tr w:rsidR="00B167CC" w:rsidRPr="00B167CC" w14:paraId="340034EF" w14:textId="77777777" w:rsidTr="00272A6C">
        <w:trPr>
          <w:gridAfter w:val="1"/>
          <w:wAfter w:w="48" w:type="pct"/>
          <w:trHeight w:val="458"/>
        </w:trPr>
        <w:tc>
          <w:tcPr>
            <w:tcW w:w="278"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D6D5214" w14:textId="77777777" w:rsidR="00B167CC" w:rsidRPr="00B167CC" w:rsidRDefault="00B167CC" w:rsidP="00B167CC">
            <w:pPr>
              <w:jc w:val="center"/>
              <w:rPr>
                <w:rFonts w:ascii="Calibri" w:hAnsi="Calibri" w:cs="Calibri"/>
                <w:b/>
                <w:bCs/>
                <w:color w:val="000000"/>
                <w:sz w:val="20"/>
                <w:szCs w:val="20"/>
              </w:rPr>
            </w:pPr>
          </w:p>
        </w:tc>
        <w:tc>
          <w:tcPr>
            <w:tcW w:w="809"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F2BBC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w:t>
            </w:r>
          </w:p>
        </w:tc>
        <w:tc>
          <w:tcPr>
            <w:tcW w:w="44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C19C9EF"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ATC skupina</w:t>
            </w:r>
          </w:p>
        </w:tc>
        <w:tc>
          <w:tcPr>
            <w:tcW w:w="395"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464A21A"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Kód SUKL/EMA</w:t>
            </w:r>
          </w:p>
        </w:tc>
        <w:tc>
          <w:tcPr>
            <w:tcW w:w="556"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3AB95D6"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 přípravku</w:t>
            </w:r>
          </w:p>
        </w:tc>
        <w:tc>
          <w:tcPr>
            <w:tcW w:w="447"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8A01D2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balení</w:t>
            </w:r>
          </w:p>
        </w:tc>
        <w:tc>
          <w:tcPr>
            <w:tcW w:w="568"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18AC539"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Léková forma/požadovaná velikost (ml;g)</w:t>
            </w:r>
          </w:p>
        </w:tc>
        <w:tc>
          <w:tcPr>
            <w:tcW w:w="453"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3BCD8B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MJ           (objem/ml; hmotnost /g)</w:t>
            </w:r>
          </w:p>
        </w:tc>
        <w:tc>
          <w:tcPr>
            <w:tcW w:w="337"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ED21F5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MJ v Kč bez DPH</w:t>
            </w:r>
          </w:p>
        </w:tc>
        <w:tc>
          <w:tcPr>
            <w:tcW w:w="329"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E0873E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Celková nabídková cena za MJ v Kč bez DPH</w:t>
            </w:r>
          </w:p>
        </w:tc>
        <w:tc>
          <w:tcPr>
            <w:tcW w:w="338"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552C94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balení v Kč bez DPH</w:t>
            </w:r>
          </w:p>
        </w:tc>
      </w:tr>
      <w:tr w:rsidR="00B167CC" w:rsidRPr="00B167CC" w14:paraId="46312C89" w14:textId="77777777" w:rsidTr="00272A6C">
        <w:trPr>
          <w:gridAfter w:val="1"/>
          <w:wAfter w:w="48" w:type="pct"/>
          <w:trHeight w:val="458"/>
        </w:trPr>
        <w:tc>
          <w:tcPr>
            <w:tcW w:w="278" w:type="pct"/>
            <w:vMerge/>
            <w:tcBorders>
              <w:top w:val="single" w:sz="8" w:space="0" w:color="auto"/>
              <w:left w:val="single" w:sz="8" w:space="0" w:color="auto"/>
              <w:bottom w:val="single" w:sz="8" w:space="0" w:color="000000"/>
              <w:right w:val="single" w:sz="4" w:space="0" w:color="auto"/>
            </w:tcBorders>
            <w:vAlign w:val="center"/>
            <w:hideMark/>
          </w:tcPr>
          <w:p w14:paraId="06FB78A3" w14:textId="77777777" w:rsidR="00B167CC" w:rsidRPr="00B167CC" w:rsidRDefault="00B167CC" w:rsidP="00B167CC">
            <w:pPr>
              <w:rPr>
                <w:rFonts w:ascii="Calibri" w:hAnsi="Calibri" w:cs="Calibri"/>
                <w:b/>
                <w:bCs/>
                <w:color w:val="000000"/>
                <w:sz w:val="20"/>
                <w:szCs w:val="20"/>
              </w:rPr>
            </w:pPr>
          </w:p>
        </w:tc>
        <w:tc>
          <w:tcPr>
            <w:tcW w:w="809" w:type="pct"/>
            <w:vMerge/>
            <w:tcBorders>
              <w:top w:val="single" w:sz="8" w:space="0" w:color="auto"/>
              <w:left w:val="single" w:sz="4" w:space="0" w:color="auto"/>
              <w:bottom w:val="single" w:sz="8" w:space="0" w:color="000000"/>
              <w:right w:val="single" w:sz="4" w:space="0" w:color="auto"/>
            </w:tcBorders>
            <w:vAlign w:val="center"/>
            <w:hideMark/>
          </w:tcPr>
          <w:p w14:paraId="784FC773" w14:textId="77777777" w:rsidR="00B167CC" w:rsidRPr="00B167CC" w:rsidRDefault="00B167CC" w:rsidP="00B167CC">
            <w:pPr>
              <w:rPr>
                <w:rFonts w:ascii="Calibri" w:hAnsi="Calibri" w:cs="Calibri"/>
                <w:b/>
                <w:bCs/>
                <w:color w:val="000000"/>
                <w:sz w:val="20"/>
                <w:szCs w:val="20"/>
              </w:rPr>
            </w:pPr>
          </w:p>
        </w:tc>
        <w:tc>
          <w:tcPr>
            <w:tcW w:w="443" w:type="pct"/>
            <w:vMerge/>
            <w:tcBorders>
              <w:top w:val="single" w:sz="8" w:space="0" w:color="auto"/>
              <w:left w:val="single" w:sz="4" w:space="0" w:color="auto"/>
              <w:bottom w:val="single" w:sz="8" w:space="0" w:color="000000"/>
              <w:right w:val="single" w:sz="4" w:space="0" w:color="auto"/>
            </w:tcBorders>
            <w:vAlign w:val="center"/>
            <w:hideMark/>
          </w:tcPr>
          <w:p w14:paraId="27A3767F" w14:textId="77777777" w:rsidR="00B167CC" w:rsidRPr="00B167CC" w:rsidRDefault="00B167CC" w:rsidP="00B167CC">
            <w:pPr>
              <w:rPr>
                <w:rFonts w:ascii="Calibri" w:hAnsi="Calibri" w:cs="Calibri"/>
                <w:b/>
                <w:bCs/>
                <w:color w:val="000000"/>
                <w:sz w:val="20"/>
                <w:szCs w:val="20"/>
              </w:rPr>
            </w:pPr>
          </w:p>
        </w:tc>
        <w:tc>
          <w:tcPr>
            <w:tcW w:w="395" w:type="pct"/>
            <w:vMerge/>
            <w:tcBorders>
              <w:top w:val="single" w:sz="8" w:space="0" w:color="auto"/>
              <w:left w:val="single" w:sz="4" w:space="0" w:color="auto"/>
              <w:bottom w:val="single" w:sz="8" w:space="0" w:color="000000"/>
              <w:right w:val="single" w:sz="4" w:space="0" w:color="auto"/>
            </w:tcBorders>
            <w:vAlign w:val="center"/>
            <w:hideMark/>
          </w:tcPr>
          <w:p w14:paraId="4505B962" w14:textId="77777777" w:rsidR="00B167CC" w:rsidRPr="00B167CC" w:rsidRDefault="00B167CC" w:rsidP="00B167CC">
            <w:pPr>
              <w:rPr>
                <w:rFonts w:ascii="Calibri" w:hAnsi="Calibri" w:cs="Calibri"/>
                <w:b/>
                <w:bCs/>
                <w:color w:val="000000"/>
                <w:sz w:val="20"/>
                <w:szCs w:val="20"/>
              </w:rPr>
            </w:pPr>
          </w:p>
        </w:tc>
        <w:tc>
          <w:tcPr>
            <w:tcW w:w="556" w:type="pct"/>
            <w:gridSpan w:val="2"/>
            <w:vMerge/>
            <w:tcBorders>
              <w:top w:val="single" w:sz="8" w:space="0" w:color="auto"/>
              <w:left w:val="single" w:sz="4" w:space="0" w:color="auto"/>
              <w:bottom w:val="single" w:sz="8" w:space="0" w:color="000000"/>
              <w:right w:val="single" w:sz="4" w:space="0" w:color="auto"/>
            </w:tcBorders>
            <w:vAlign w:val="center"/>
            <w:hideMark/>
          </w:tcPr>
          <w:p w14:paraId="07A5B6E0" w14:textId="77777777" w:rsidR="00B167CC" w:rsidRPr="00B167CC" w:rsidRDefault="00B167CC" w:rsidP="00B167CC">
            <w:pPr>
              <w:rPr>
                <w:rFonts w:ascii="Calibri" w:hAnsi="Calibri" w:cs="Calibri"/>
                <w:b/>
                <w:bCs/>
                <w:color w:val="000000"/>
                <w:sz w:val="20"/>
                <w:szCs w:val="20"/>
              </w:rPr>
            </w:pPr>
          </w:p>
        </w:tc>
        <w:tc>
          <w:tcPr>
            <w:tcW w:w="447" w:type="pct"/>
            <w:gridSpan w:val="2"/>
            <w:vMerge/>
            <w:tcBorders>
              <w:top w:val="single" w:sz="8" w:space="0" w:color="auto"/>
              <w:left w:val="single" w:sz="4" w:space="0" w:color="auto"/>
              <w:bottom w:val="single" w:sz="8" w:space="0" w:color="000000"/>
              <w:right w:val="single" w:sz="4" w:space="0" w:color="auto"/>
            </w:tcBorders>
            <w:vAlign w:val="center"/>
            <w:hideMark/>
          </w:tcPr>
          <w:p w14:paraId="7B6573C8" w14:textId="77777777" w:rsidR="00B167CC" w:rsidRPr="00B167CC" w:rsidRDefault="00B167CC" w:rsidP="00B167CC">
            <w:pPr>
              <w:rPr>
                <w:rFonts w:ascii="Calibri" w:hAnsi="Calibri" w:cs="Calibri"/>
                <w:b/>
                <w:bCs/>
                <w:color w:val="000000"/>
                <w:sz w:val="20"/>
                <w:szCs w:val="20"/>
              </w:rPr>
            </w:pPr>
          </w:p>
        </w:tc>
        <w:tc>
          <w:tcPr>
            <w:tcW w:w="568" w:type="pct"/>
            <w:gridSpan w:val="2"/>
            <w:vMerge/>
            <w:tcBorders>
              <w:top w:val="single" w:sz="8" w:space="0" w:color="auto"/>
              <w:left w:val="single" w:sz="4" w:space="0" w:color="auto"/>
              <w:bottom w:val="single" w:sz="8" w:space="0" w:color="000000"/>
              <w:right w:val="single" w:sz="4" w:space="0" w:color="auto"/>
            </w:tcBorders>
            <w:vAlign w:val="center"/>
            <w:hideMark/>
          </w:tcPr>
          <w:p w14:paraId="7E17B9A3" w14:textId="77777777" w:rsidR="00B167CC" w:rsidRPr="00B167CC" w:rsidRDefault="00B167CC" w:rsidP="00B167CC">
            <w:pPr>
              <w:rPr>
                <w:rFonts w:ascii="Calibri" w:hAnsi="Calibri" w:cs="Calibri"/>
                <w:b/>
                <w:bCs/>
                <w:color w:val="000000"/>
                <w:sz w:val="20"/>
                <w:szCs w:val="20"/>
              </w:rPr>
            </w:pPr>
          </w:p>
        </w:tc>
        <w:tc>
          <w:tcPr>
            <w:tcW w:w="453" w:type="pct"/>
            <w:gridSpan w:val="2"/>
            <w:vMerge/>
            <w:tcBorders>
              <w:top w:val="single" w:sz="8" w:space="0" w:color="auto"/>
              <w:left w:val="single" w:sz="4" w:space="0" w:color="auto"/>
              <w:bottom w:val="single" w:sz="8" w:space="0" w:color="000000"/>
              <w:right w:val="single" w:sz="4" w:space="0" w:color="auto"/>
            </w:tcBorders>
            <w:vAlign w:val="center"/>
            <w:hideMark/>
          </w:tcPr>
          <w:p w14:paraId="6F399753" w14:textId="77777777" w:rsidR="00B167CC" w:rsidRPr="00B167CC" w:rsidRDefault="00B167CC" w:rsidP="00B167CC">
            <w:pPr>
              <w:rPr>
                <w:rFonts w:ascii="Calibri" w:hAnsi="Calibri" w:cs="Calibri"/>
                <w:b/>
                <w:bCs/>
                <w:color w:val="000000"/>
                <w:sz w:val="20"/>
                <w:szCs w:val="20"/>
              </w:rPr>
            </w:pPr>
          </w:p>
        </w:tc>
        <w:tc>
          <w:tcPr>
            <w:tcW w:w="337" w:type="pct"/>
            <w:gridSpan w:val="2"/>
            <w:vMerge/>
            <w:tcBorders>
              <w:top w:val="single" w:sz="8" w:space="0" w:color="auto"/>
              <w:left w:val="single" w:sz="4" w:space="0" w:color="auto"/>
              <w:bottom w:val="single" w:sz="8" w:space="0" w:color="000000"/>
              <w:right w:val="single" w:sz="4" w:space="0" w:color="auto"/>
            </w:tcBorders>
            <w:vAlign w:val="center"/>
            <w:hideMark/>
          </w:tcPr>
          <w:p w14:paraId="0F6F47C3" w14:textId="77777777" w:rsidR="00B167CC" w:rsidRPr="00B167CC" w:rsidRDefault="00B167CC" w:rsidP="00B167CC">
            <w:pPr>
              <w:rPr>
                <w:rFonts w:ascii="Calibri" w:hAnsi="Calibri" w:cs="Calibri"/>
                <w:b/>
                <w:bCs/>
                <w:color w:val="000000"/>
                <w:sz w:val="20"/>
                <w:szCs w:val="20"/>
              </w:rPr>
            </w:pPr>
          </w:p>
        </w:tc>
        <w:tc>
          <w:tcPr>
            <w:tcW w:w="329" w:type="pct"/>
            <w:gridSpan w:val="2"/>
            <w:vMerge/>
            <w:tcBorders>
              <w:top w:val="single" w:sz="8" w:space="0" w:color="auto"/>
              <w:left w:val="single" w:sz="4" w:space="0" w:color="auto"/>
              <w:bottom w:val="single" w:sz="8" w:space="0" w:color="000000"/>
              <w:right w:val="single" w:sz="4" w:space="0" w:color="auto"/>
            </w:tcBorders>
            <w:vAlign w:val="center"/>
            <w:hideMark/>
          </w:tcPr>
          <w:p w14:paraId="3B20BA03" w14:textId="77777777" w:rsidR="00B167CC" w:rsidRPr="00B167CC" w:rsidRDefault="00B167CC" w:rsidP="00B167CC">
            <w:pPr>
              <w:rPr>
                <w:rFonts w:ascii="Calibri" w:hAnsi="Calibri" w:cs="Calibri"/>
                <w:b/>
                <w:bCs/>
                <w:color w:val="000000"/>
                <w:sz w:val="20"/>
                <w:szCs w:val="20"/>
              </w:rPr>
            </w:pPr>
          </w:p>
        </w:tc>
        <w:tc>
          <w:tcPr>
            <w:tcW w:w="338" w:type="pct"/>
            <w:gridSpan w:val="2"/>
            <w:vMerge/>
            <w:tcBorders>
              <w:top w:val="single" w:sz="8" w:space="0" w:color="auto"/>
              <w:left w:val="single" w:sz="4" w:space="0" w:color="auto"/>
              <w:bottom w:val="single" w:sz="8" w:space="0" w:color="000000"/>
              <w:right w:val="single" w:sz="8" w:space="0" w:color="auto"/>
            </w:tcBorders>
            <w:vAlign w:val="center"/>
            <w:hideMark/>
          </w:tcPr>
          <w:p w14:paraId="718CEB70" w14:textId="77777777" w:rsidR="00B167CC" w:rsidRPr="00B167CC" w:rsidRDefault="00B167CC" w:rsidP="00B167CC">
            <w:pPr>
              <w:rPr>
                <w:rFonts w:ascii="Calibri" w:hAnsi="Calibri" w:cs="Calibri"/>
                <w:b/>
                <w:bCs/>
                <w:color w:val="000000"/>
                <w:sz w:val="20"/>
                <w:szCs w:val="20"/>
              </w:rPr>
            </w:pPr>
          </w:p>
        </w:tc>
      </w:tr>
      <w:tr w:rsidR="00B52563" w:rsidRPr="00B167CC" w14:paraId="28DA376E"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67865F8E" w14:textId="7B74A697"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w:t>
            </w:r>
          </w:p>
        </w:tc>
        <w:tc>
          <w:tcPr>
            <w:tcW w:w="809" w:type="pct"/>
            <w:tcBorders>
              <w:top w:val="nil"/>
              <w:left w:val="single" w:sz="4" w:space="0" w:color="auto"/>
              <w:bottom w:val="single" w:sz="8" w:space="0" w:color="000000"/>
              <w:right w:val="single" w:sz="4" w:space="0" w:color="auto"/>
            </w:tcBorders>
            <w:shd w:val="clear" w:color="auto" w:fill="auto"/>
            <w:vAlign w:val="center"/>
          </w:tcPr>
          <w:p w14:paraId="290CB7FC" w14:textId="2891FE32"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Jomeprol 300 mg I/ml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67FAF983" w14:textId="17A52C35" w:rsidR="00B52563" w:rsidRPr="00272A6C" w:rsidRDefault="00B52563" w:rsidP="00B52563">
            <w:pPr>
              <w:jc w:val="center"/>
              <w:rPr>
                <w:rFonts w:ascii="Calibri" w:hAnsi="Calibri" w:cs="Calibri"/>
                <w:color w:val="000000"/>
                <w:sz w:val="20"/>
                <w:szCs w:val="20"/>
              </w:rPr>
            </w:pPr>
            <w:r>
              <w:rPr>
                <w:rFonts w:ascii="Calibri" w:hAnsi="Calibri" w:cs="Calibri"/>
                <w:color w:val="000000"/>
                <w:sz w:val="22"/>
                <w:szCs w:val="22"/>
              </w:rPr>
              <w:t>V08AB10</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224314EC" w14:textId="77777777" w:rsidR="00B52563" w:rsidRPr="00272A6C" w:rsidRDefault="00B52563" w:rsidP="00B52563">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2865EA8" w14:textId="77777777" w:rsidR="00B52563" w:rsidRPr="00272A6C" w:rsidRDefault="00B52563" w:rsidP="00B52563">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7E9F9FE" w14:textId="77777777" w:rsidR="00B52563" w:rsidRPr="00272A6C" w:rsidRDefault="00B52563" w:rsidP="00B52563">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6628707F" w14:textId="377661A8"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INJ SOL</w:t>
            </w:r>
          </w:p>
        </w:tc>
        <w:tc>
          <w:tcPr>
            <w:tcW w:w="453" w:type="pct"/>
            <w:gridSpan w:val="2"/>
            <w:tcBorders>
              <w:top w:val="nil"/>
              <w:left w:val="nil"/>
              <w:bottom w:val="single" w:sz="8" w:space="0" w:color="000000"/>
              <w:right w:val="single" w:sz="4" w:space="0" w:color="auto"/>
            </w:tcBorders>
            <w:shd w:val="clear" w:color="auto" w:fill="auto"/>
            <w:noWrap/>
            <w:vAlign w:val="center"/>
          </w:tcPr>
          <w:p w14:paraId="3870A635" w14:textId="6D633454"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 x 100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4A51293" w14:textId="77777777" w:rsidR="00B52563" w:rsidRPr="00272A6C" w:rsidRDefault="00B52563" w:rsidP="00B52563">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BC66AA4" w14:textId="77777777" w:rsidR="00B52563" w:rsidRPr="00272A6C" w:rsidRDefault="00B52563" w:rsidP="00B52563">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65F5FC3A" w14:textId="77777777" w:rsidR="00B52563" w:rsidRPr="00272A6C" w:rsidRDefault="00B52563" w:rsidP="00B52563">
            <w:pPr>
              <w:jc w:val="center"/>
              <w:rPr>
                <w:rFonts w:ascii="Calibri" w:hAnsi="Calibri" w:cs="Calibri"/>
                <w:b/>
                <w:bCs/>
                <w:color w:val="000000"/>
                <w:sz w:val="20"/>
                <w:szCs w:val="20"/>
              </w:rPr>
            </w:pPr>
          </w:p>
        </w:tc>
      </w:tr>
      <w:tr w:rsidR="00B52563" w:rsidRPr="00B167CC" w14:paraId="7CCEE499"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08DC5594" w14:textId="3D08143B"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2.</w:t>
            </w:r>
          </w:p>
        </w:tc>
        <w:tc>
          <w:tcPr>
            <w:tcW w:w="809" w:type="pct"/>
            <w:tcBorders>
              <w:top w:val="nil"/>
              <w:left w:val="single" w:sz="4" w:space="0" w:color="auto"/>
              <w:bottom w:val="single" w:sz="8" w:space="0" w:color="000000"/>
              <w:right w:val="single" w:sz="4" w:space="0" w:color="auto"/>
            </w:tcBorders>
            <w:shd w:val="clear" w:color="auto" w:fill="auto"/>
            <w:vAlign w:val="center"/>
          </w:tcPr>
          <w:p w14:paraId="07CBD5BA" w14:textId="79FCE84F"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Jomeprol 300 mg I/ml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31D2F492" w14:textId="76690679" w:rsidR="00B52563" w:rsidRPr="00272A6C" w:rsidRDefault="00B52563" w:rsidP="00B52563">
            <w:pPr>
              <w:jc w:val="center"/>
              <w:rPr>
                <w:rFonts w:ascii="Calibri" w:hAnsi="Calibri" w:cs="Calibri"/>
                <w:color w:val="000000"/>
                <w:sz w:val="20"/>
                <w:szCs w:val="20"/>
              </w:rPr>
            </w:pPr>
            <w:r>
              <w:rPr>
                <w:rFonts w:ascii="Calibri" w:hAnsi="Calibri" w:cs="Calibri"/>
                <w:color w:val="000000"/>
                <w:sz w:val="22"/>
                <w:szCs w:val="22"/>
              </w:rPr>
              <w:t>V08AB10</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04FD6121" w14:textId="77777777" w:rsidR="00B52563" w:rsidRPr="00272A6C" w:rsidRDefault="00B52563" w:rsidP="00B52563">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783EB89" w14:textId="77777777" w:rsidR="00B52563" w:rsidRPr="00272A6C" w:rsidRDefault="00B52563" w:rsidP="00B52563">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AEF9140" w14:textId="77777777" w:rsidR="00B52563" w:rsidRPr="00272A6C" w:rsidRDefault="00B52563" w:rsidP="00B52563">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03A44415" w14:textId="3A30F471"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INJ SOL</w:t>
            </w:r>
          </w:p>
        </w:tc>
        <w:tc>
          <w:tcPr>
            <w:tcW w:w="453" w:type="pct"/>
            <w:gridSpan w:val="2"/>
            <w:tcBorders>
              <w:top w:val="nil"/>
              <w:left w:val="nil"/>
              <w:bottom w:val="single" w:sz="8" w:space="0" w:color="000000"/>
              <w:right w:val="single" w:sz="4" w:space="0" w:color="auto"/>
            </w:tcBorders>
            <w:shd w:val="clear" w:color="auto" w:fill="auto"/>
            <w:noWrap/>
            <w:vAlign w:val="center"/>
          </w:tcPr>
          <w:p w14:paraId="4FD4889C" w14:textId="031E725D"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 x 200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7899E3E" w14:textId="77777777" w:rsidR="00B52563" w:rsidRPr="00272A6C" w:rsidRDefault="00B52563" w:rsidP="00B52563">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58874A2" w14:textId="77777777" w:rsidR="00B52563" w:rsidRPr="00272A6C" w:rsidRDefault="00B52563" w:rsidP="00B52563">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3EEF48F6" w14:textId="77777777" w:rsidR="00B52563" w:rsidRPr="00272A6C" w:rsidRDefault="00B52563" w:rsidP="00B52563">
            <w:pPr>
              <w:jc w:val="center"/>
              <w:rPr>
                <w:rFonts w:ascii="Calibri" w:hAnsi="Calibri" w:cs="Calibri"/>
                <w:b/>
                <w:bCs/>
                <w:color w:val="000000"/>
                <w:sz w:val="20"/>
                <w:szCs w:val="20"/>
              </w:rPr>
            </w:pPr>
          </w:p>
        </w:tc>
      </w:tr>
      <w:tr w:rsidR="00B52563" w:rsidRPr="00B167CC" w14:paraId="4BDA95E1"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0A22F688" w14:textId="39DB147A"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3.</w:t>
            </w:r>
          </w:p>
        </w:tc>
        <w:tc>
          <w:tcPr>
            <w:tcW w:w="809" w:type="pct"/>
            <w:tcBorders>
              <w:top w:val="nil"/>
              <w:left w:val="single" w:sz="4" w:space="0" w:color="auto"/>
              <w:bottom w:val="single" w:sz="8" w:space="0" w:color="000000"/>
              <w:right w:val="single" w:sz="4" w:space="0" w:color="auto"/>
            </w:tcBorders>
            <w:shd w:val="clear" w:color="auto" w:fill="auto"/>
            <w:vAlign w:val="center"/>
          </w:tcPr>
          <w:p w14:paraId="7A58689D" w14:textId="24AD5035"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Jomeprol 300 mg I/ml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2CB24B7E" w14:textId="27EACA76" w:rsidR="00B52563" w:rsidRPr="00272A6C" w:rsidRDefault="00B52563" w:rsidP="00B52563">
            <w:pPr>
              <w:jc w:val="center"/>
              <w:rPr>
                <w:rFonts w:ascii="Calibri" w:hAnsi="Calibri" w:cs="Calibri"/>
                <w:color w:val="000000"/>
                <w:sz w:val="20"/>
                <w:szCs w:val="20"/>
              </w:rPr>
            </w:pPr>
            <w:r>
              <w:rPr>
                <w:rFonts w:ascii="Calibri" w:hAnsi="Calibri" w:cs="Calibri"/>
                <w:color w:val="000000"/>
                <w:sz w:val="22"/>
                <w:szCs w:val="22"/>
              </w:rPr>
              <w:t>V08AB10</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4F06EF5F" w14:textId="77777777" w:rsidR="00B52563" w:rsidRPr="00272A6C" w:rsidRDefault="00B52563" w:rsidP="00B52563">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819FE1B" w14:textId="77777777" w:rsidR="00B52563" w:rsidRPr="00272A6C" w:rsidRDefault="00B52563" w:rsidP="00B52563">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8362F8A" w14:textId="77777777" w:rsidR="00B52563" w:rsidRPr="00272A6C" w:rsidRDefault="00B52563" w:rsidP="00B52563">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51CACA40" w14:textId="1A92CD22"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INJ SOL</w:t>
            </w:r>
          </w:p>
        </w:tc>
        <w:tc>
          <w:tcPr>
            <w:tcW w:w="453" w:type="pct"/>
            <w:gridSpan w:val="2"/>
            <w:tcBorders>
              <w:top w:val="nil"/>
              <w:left w:val="nil"/>
              <w:bottom w:val="single" w:sz="8" w:space="0" w:color="000000"/>
              <w:right w:val="single" w:sz="4" w:space="0" w:color="auto"/>
            </w:tcBorders>
            <w:shd w:val="clear" w:color="auto" w:fill="auto"/>
            <w:noWrap/>
            <w:vAlign w:val="center"/>
          </w:tcPr>
          <w:p w14:paraId="6BBDE2AC" w14:textId="0CD462A7"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 x 20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EADD020" w14:textId="77777777" w:rsidR="00B52563" w:rsidRPr="00272A6C" w:rsidRDefault="00B52563" w:rsidP="00B52563">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1D164E58" w14:textId="77777777" w:rsidR="00B52563" w:rsidRPr="00272A6C" w:rsidRDefault="00B52563" w:rsidP="00B52563">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7BC83D0A" w14:textId="77777777" w:rsidR="00B52563" w:rsidRPr="00272A6C" w:rsidRDefault="00B52563" w:rsidP="00B52563">
            <w:pPr>
              <w:jc w:val="center"/>
              <w:rPr>
                <w:rFonts w:ascii="Calibri" w:hAnsi="Calibri" w:cs="Calibri"/>
                <w:b/>
                <w:bCs/>
                <w:color w:val="000000"/>
                <w:sz w:val="20"/>
                <w:szCs w:val="20"/>
              </w:rPr>
            </w:pPr>
          </w:p>
        </w:tc>
      </w:tr>
      <w:tr w:rsidR="00B52563" w:rsidRPr="00B167CC" w14:paraId="2583D9A1"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78CA50FA" w14:textId="3B77541E"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4.</w:t>
            </w:r>
          </w:p>
        </w:tc>
        <w:tc>
          <w:tcPr>
            <w:tcW w:w="809" w:type="pct"/>
            <w:tcBorders>
              <w:top w:val="nil"/>
              <w:left w:val="single" w:sz="4" w:space="0" w:color="auto"/>
              <w:bottom w:val="single" w:sz="8" w:space="0" w:color="000000"/>
              <w:right w:val="single" w:sz="4" w:space="0" w:color="auto"/>
            </w:tcBorders>
            <w:shd w:val="clear" w:color="auto" w:fill="auto"/>
            <w:vAlign w:val="center"/>
          </w:tcPr>
          <w:p w14:paraId="04917F75" w14:textId="6BE2D7B7"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Jomeprol 300 mg I/ml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5CD37010" w14:textId="787A78FE" w:rsidR="00B52563" w:rsidRPr="00272A6C" w:rsidRDefault="00B52563" w:rsidP="00B52563">
            <w:pPr>
              <w:jc w:val="center"/>
              <w:rPr>
                <w:rFonts w:ascii="Calibri" w:hAnsi="Calibri" w:cs="Calibri"/>
                <w:color w:val="000000"/>
                <w:sz w:val="20"/>
                <w:szCs w:val="20"/>
              </w:rPr>
            </w:pPr>
            <w:r>
              <w:rPr>
                <w:rFonts w:ascii="Calibri" w:hAnsi="Calibri" w:cs="Calibri"/>
                <w:color w:val="000000"/>
                <w:sz w:val="22"/>
                <w:szCs w:val="22"/>
              </w:rPr>
              <w:t>V08AB10</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367EF75F" w14:textId="77777777" w:rsidR="00B52563" w:rsidRPr="00272A6C" w:rsidRDefault="00B52563" w:rsidP="00B52563">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3FE4BE05" w14:textId="77777777" w:rsidR="00B52563" w:rsidRPr="00272A6C" w:rsidRDefault="00B52563" w:rsidP="00B52563">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455A9CBC" w14:textId="77777777" w:rsidR="00B52563" w:rsidRPr="00272A6C" w:rsidRDefault="00B52563" w:rsidP="00B52563">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403BA6BF" w14:textId="1C6284E1"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INJ SOL</w:t>
            </w:r>
          </w:p>
        </w:tc>
        <w:tc>
          <w:tcPr>
            <w:tcW w:w="453" w:type="pct"/>
            <w:gridSpan w:val="2"/>
            <w:tcBorders>
              <w:top w:val="nil"/>
              <w:left w:val="nil"/>
              <w:bottom w:val="single" w:sz="8" w:space="0" w:color="000000"/>
              <w:right w:val="single" w:sz="4" w:space="0" w:color="auto"/>
            </w:tcBorders>
            <w:shd w:val="clear" w:color="auto" w:fill="auto"/>
            <w:noWrap/>
            <w:vAlign w:val="center"/>
          </w:tcPr>
          <w:p w14:paraId="4B78CE0B" w14:textId="0A9071CD"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 x 50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48561F8" w14:textId="77777777" w:rsidR="00B52563" w:rsidRPr="00272A6C" w:rsidRDefault="00B52563" w:rsidP="00B52563">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3C0C6F77" w14:textId="77777777" w:rsidR="00B52563" w:rsidRPr="00272A6C" w:rsidRDefault="00B52563" w:rsidP="00B52563">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441CF22F" w14:textId="77777777" w:rsidR="00B52563" w:rsidRPr="00272A6C" w:rsidRDefault="00B52563" w:rsidP="00B52563">
            <w:pPr>
              <w:jc w:val="center"/>
              <w:rPr>
                <w:rFonts w:ascii="Calibri" w:hAnsi="Calibri" w:cs="Calibri"/>
                <w:b/>
                <w:bCs/>
                <w:color w:val="000000"/>
                <w:sz w:val="20"/>
                <w:szCs w:val="20"/>
              </w:rPr>
            </w:pPr>
          </w:p>
        </w:tc>
      </w:tr>
      <w:tr w:rsidR="00B52563" w:rsidRPr="00B167CC" w14:paraId="44F941E6"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561B5FDA" w14:textId="1A7D4F14"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5.</w:t>
            </w:r>
          </w:p>
        </w:tc>
        <w:tc>
          <w:tcPr>
            <w:tcW w:w="809" w:type="pct"/>
            <w:tcBorders>
              <w:top w:val="nil"/>
              <w:left w:val="single" w:sz="4" w:space="0" w:color="auto"/>
              <w:bottom w:val="single" w:sz="8" w:space="0" w:color="000000"/>
              <w:right w:val="single" w:sz="4" w:space="0" w:color="auto"/>
            </w:tcBorders>
            <w:shd w:val="clear" w:color="auto" w:fill="auto"/>
            <w:vAlign w:val="center"/>
          </w:tcPr>
          <w:p w14:paraId="7339063C" w14:textId="544F6FEE"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Jomeprol 350 mg I/ml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6DB1160B" w14:textId="0685EA1C" w:rsidR="00B52563" w:rsidRPr="00272A6C" w:rsidRDefault="00B52563" w:rsidP="00B52563">
            <w:pPr>
              <w:jc w:val="center"/>
              <w:rPr>
                <w:rFonts w:ascii="Calibri" w:hAnsi="Calibri" w:cs="Calibri"/>
                <w:color w:val="000000"/>
                <w:sz w:val="20"/>
                <w:szCs w:val="20"/>
              </w:rPr>
            </w:pPr>
            <w:r>
              <w:rPr>
                <w:rFonts w:ascii="Calibri" w:hAnsi="Calibri" w:cs="Calibri"/>
                <w:color w:val="000000"/>
                <w:sz w:val="22"/>
                <w:szCs w:val="22"/>
              </w:rPr>
              <w:t>V08AB10</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3DA793B7" w14:textId="77777777" w:rsidR="00B52563" w:rsidRPr="00272A6C" w:rsidRDefault="00B52563" w:rsidP="00B52563">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0DAA6B9" w14:textId="77777777" w:rsidR="00B52563" w:rsidRPr="00272A6C" w:rsidRDefault="00B52563" w:rsidP="00B52563">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3F3AFFD8" w14:textId="77777777" w:rsidR="00B52563" w:rsidRPr="00272A6C" w:rsidRDefault="00B52563" w:rsidP="00B52563">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5575C5E1" w14:textId="3AC7E47E"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INJ SOL</w:t>
            </w:r>
          </w:p>
        </w:tc>
        <w:tc>
          <w:tcPr>
            <w:tcW w:w="453" w:type="pct"/>
            <w:gridSpan w:val="2"/>
            <w:tcBorders>
              <w:top w:val="nil"/>
              <w:left w:val="nil"/>
              <w:bottom w:val="single" w:sz="8" w:space="0" w:color="000000"/>
              <w:right w:val="single" w:sz="4" w:space="0" w:color="auto"/>
            </w:tcBorders>
            <w:shd w:val="clear" w:color="auto" w:fill="auto"/>
            <w:noWrap/>
            <w:vAlign w:val="center"/>
          </w:tcPr>
          <w:p w14:paraId="22351C5C" w14:textId="21958CC4"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 x 100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A8DC42B" w14:textId="77777777" w:rsidR="00B52563" w:rsidRPr="00272A6C" w:rsidRDefault="00B52563" w:rsidP="00B52563">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BABA227" w14:textId="77777777" w:rsidR="00B52563" w:rsidRPr="00272A6C" w:rsidRDefault="00B52563" w:rsidP="00B52563">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627887A9" w14:textId="77777777" w:rsidR="00B52563" w:rsidRPr="00272A6C" w:rsidRDefault="00B52563" w:rsidP="00B52563">
            <w:pPr>
              <w:jc w:val="center"/>
              <w:rPr>
                <w:rFonts w:ascii="Calibri" w:hAnsi="Calibri" w:cs="Calibri"/>
                <w:b/>
                <w:bCs/>
                <w:color w:val="000000"/>
                <w:sz w:val="20"/>
                <w:szCs w:val="20"/>
              </w:rPr>
            </w:pPr>
          </w:p>
        </w:tc>
      </w:tr>
      <w:tr w:rsidR="00B52563" w:rsidRPr="00B167CC" w14:paraId="5DCB25B5"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6CB73380" w14:textId="393FF68A"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6.</w:t>
            </w:r>
          </w:p>
        </w:tc>
        <w:tc>
          <w:tcPr>
            <w:tcW w:w="809" w:type="pct"/>
            <w:tcBorders>
              <w:top w:val="nil"/>
              <w:left w:val="single" w:sz="4" w:space="0" w:color="auto"/>
              <w:bottom w:val="single" w:sz="8" w:space="0" w:color="000000"/>
              <w:right w:val="single" w:sz="4" w:space="0" w:color="auto"/>
            </w:tcBorders>
            <w:shd w:val="clear" w:color="auto" w:fill="auto"/>
            <w:vAlign w:val="center"/>
          </w:tcPr>
          <w:p w14:paraId="4B3F946F" w14:textId="65E1E406"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Jomeprol 350 mg I/ml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612E458E" w14:textId="25F5967E" w:rsidR="00B52563" w:rsidRPr="00272A6C" w:rsidRDefault="00B52563" w:rsidP="00B52563">
            <w:pPr>
              <w:jc w:val="center"/>
              <w:rPr>
                <w:rFonts w:ascii="Calibri" w:hAnsi="Calibri" w:cs="Calibri"/>
                <w:color w:val="000000"/>
                <w:sz w:val="20"/>
                <w:szCs w:val="20"/>
              </w:rPr>
            </w:pPr>
            <w:r>
              <w:rPr>
                <w:rFonts w:ascii="Calibri" w:hAnsi="Calibri" w:cs="Calibri"/>
                <w:color w:val="000000"/>
                <w:sz w:val="22"/>
                <w:szCs w:val="22"/>
              </w:rPr>
              <w:t>V08AB10</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472F539E" w14:textId="77777777" w:rsidR="00B52563" w:rsidRPr="00272A6C" w:rsidRDefault="00B52563" w:rsidP="00B52563">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DA7B7FA" w14:textId="77777777" w:rsidR="00B52563" w:rsidRPr="00272A6C" w:rsidRDefault="00B52563" w:rsidP="00B52563">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649DB06" w14:textId="77777777" w:rsidR="00B52563" w:rsidRPr="00272A6C" w:rsidRDefault="00B52563" w:rsidP="00B52563">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7A64298D" w14:textId="38830D1F"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INJ SOL</w:t>
            </w:r>
          </w:p>
        </w:tc>
        <w:tc>
          <w:tcPr>
            <w:tcW w:w="453" w:type="pct"/>
            <w:gridSpan w:val="2"/>
            <w:tcBorders>
              <w:top w:val="nil"/>
              <w:left w:val="nil"/>
              <w:bottom w:val="single" w:sz="8" w:space="0" w:color="000000"/>
              <w:right w:val="single" w:sz="4" w:space="0" w:color="auto"/>
            </w:tcBorders>
            <w:shd w:val="clear" w:color="auto" w:fill="auto"/>
            <w:noWrap/>
            <w:vAlign w:val="center"/>
          </w:tcPr>
          <w:p w14:paraId="6F9B0526" w14:textId="169B2140"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 x 200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921779F" w14:textId="77777777" w:rsidR="00B52563" w:rsidRPr="00272A6C" w:rsidRDefault="00B52563" w:rsidP="00B52563">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3F6C923" w14:textId="77777777" w:rsidR="00B52563" w:rsidRPr="00272A6C" w:rsidRDefault="00B52563" w:rsidP="00B52563">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2D8EE3EF" w14:textId="77777777" w:rsidR="00B52563" w:rsidRPr="00272A6C" w:rsidRDefault="00B52563" w:rsidP="00B52563">
            <w:pPr>
              <w:jc w:val="center"/>
              <w:rPr>
                <w:rFonts w:ascii="Calibri" w:hAnsi="Calibri" w:cs="Calibri"/>
                <w:b/>
                <w:bCs/>
                <w:color w:val="000000"/>
                <w:sz w:val="20"/>
                <w:szCs w:val="20"/>
              </w:rPr>
            </w:pPr>
          </w:p>
        </w:tc>
      </w:tr>
      <w:tr w:rsidR="00B52563" w:rsidRPr="00B167CC" w14:paraId="0E61C0EC"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1C524CF2" w14:textId="7ABC379D"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7.</w:t>
            </w:r>
          </w:p>
        </w:tc>
        <w:tc>
          <w:tcPr>
            <w:tcW w:w="809" w:type="pct"/>
            <w:tcBorders>
              <w:top w:val="nil"/>
              <w:left w:val="single" w:sz="4" w:space="0" w:color="auto"/>
              <w:bottom w:val="single" w:sz="8" w:space="0" w:color="000000"/>
              <w:right w:val="single" w:sz="4" w:space="0" w:color="auto"/>
            </w:tcBorders>
            <w:shd w:val="clear" w:color="auto" w:fill="auto"/>
            <w:vAlign w:val="center"/>
          </w:tcPr>
          <w:p w14:paraId="1C5EAD78" w14:textId="21AE6BC3"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Jomeprol 350 mg I/ml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773187FE" w14:textId="3B68D6B5" w:rsidR="00B52563" w:rsidRPr="00272A6C" w:rsidRDefault="00B52563" w:rsidP="00B52563">
            <w:pPr>
              <w:jc w:val="center"/>
              <w:rPr>
                <w:rFonts w:ascii="Calibri" w:hAnsi="Calibri" w:cs="Calibri"/>
                <w:color w:val="000000"/>
                <w:sz w:val="20"/>
                <w:szCs w:val="20"/>
              </w:rPr>
            </w:pPr>
            <w:r>
              <w:rPr>
                <w:rFonts w:ascii="Calibri" w:hAnsi="Calibri" w:cs="Calibri"/>
                <w:color w:val="000000"/>
                <w:sz w:val="22"/>
                <w:szCs w:val="22"/>
              </w:rPr>
              <w:t>V08AB10</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423B0C57" w14:textId="77777777" w:rsidR="00B52563" w:rsidRPr="00272A6C" w:rsidRDefault="00B52563" w:rsidP="00B52563">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6E554330" w14:textId="77777777" w:rsidR="00B52563" w:rsidRPr="00272A6C" w:rsidRDefault="00B52563" w:rsidP="00B52563">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7FF839E" w14:textId="77777777" w:rsidR="00B52563" w:rsidRPr="00272A6C" w:rsidRDefault="00B52563" w:rsidP="00B52563">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006935EB" w14:textId="2DA13CCA"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INJ SOL</w:t>
            </w:r>
          </w:p>
        </w:tc>
        <w:tc>
          <w:tcPr>
            <w:tcW w:w="453" w:type="pct"/>
            <w:gridSpan w:val="2"/>
            <w:tcBorders>
              <w:top w:val="nil"/>
              <w:left w:val="nil"/>
              <w:bottom w:val="single" w:sz="8" w:space="0" w:color="000000"/>
              <w:right w:val="single" w:sz="4" w:space="0" w:color="auto"/>
            </w:tcBorders>
            <w:shd w:val="clear" w:color="auto" w:fill="auto"/>
            <w:noWrap/>
            <w:vAlign w:val="center"/>
          </w:tcPr>
          <w:p w14:paraId="5F4632F7" w14:textId="1DA5D592"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 x 500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31E0939" w14:textId="77777777" w:rsidR="00B52563" w:rsidRPr="00272A6C" w:rsidRDefault="00B52563" w:rsidP="00B52563">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2548940" w14:textId="77777777" w:rsidR="00B52563" w:rsidRPr="00272A6C" w:rsidRDefault="00B52563" w:rsidP="00B52563">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10224946" w14:textId="77777777" w:rsidR="00B52563" w:rsidRPr="00272A6C" w:rsidRDefault="00B52563" w:rsidP="00B52563">
            <w:pPr>
              <w:jc w:val="center"/>
              <w:rPr>
                <w:rFonts w:ascii="Calibri" w:hAnsi="Calibri" w:cs="Calibri"/>
                <w:b/>
                <w:bCs/>
                <w:color w:val="000000"/>
                <w:sz w:val="20"/>
                <w:szCs w:val="20"/>
              </w:rPr>
            </w:pPr>
          </w:p>
        </w:tc>
      </w:tr>
      <w:tr w:rsidR="00B52563" w:rsidRPr="00B167CC" w14:paraId="454E3CA2"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14CB6A5C" w14:textId="475B3BCD"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8.</w:t>
            </w:r>
          </w:p>
        </w:tc>
        <w:tc>
          <w:tcPr>
            <w:tcW w:w="809" w:type="pct"/>
            <w:tcBorders>
              <w:top w:val="nil"/>
              <w:left w:val="single" w:sz="4" w:space="0" w:color="auto"/>
              <w:bottom w:val="single" w:sz="8" w:space="0" w:color="000000"/>
              <w:right w:val="single" w:sz="4" w:space="0" w:color="auto"/>
            </w:tcBorders>
            <w:shd w:val="clear" w:color="auto" w:fill="auto"/>
            <w:vAlign w:val="center"/>
          </w:tcPr>
          <w:p w14:paraId="5ABC0484" w14:textId="12120523"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Jomeprol 400 mg I/ml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7A062586" w14:textId="585BC523" w:rsidR="00B52563" w:rsidRPr="00272A6C" w:rsidRDefault="00B52563" w:rsidP="00B52563">
            <w:pPr>
              <w:jc w:val="center"/>
              <w:rPr>
                <w:rFonts w:ascii="Calibri" w:hAnsi="Calibri" w:cs="Calibri"/>
                <w:color w:val="000000"/>
                <w:sz w:val="20"/>
                <w:szCs w:val="20"/>
              </w:rPr>
            </w:pPr>
            <w:r>
              <w:rPr>
                <w:rFonts w:ascii="Calibri" w:hAnsi="Calibri" w:cs="Calibri"/>
                <w:color w:val="000000"/>
                <w:sz w:val="22"/>
                <w:szCs w:val="22"/>
              </w:rPr>
              <w:t>V08AB10</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58DA8342" w14:textId="77777777" w:rsidR="00B52563" w:rsidRPr="00272A6C" w:rsidRDefault="00B52563" w:rsidP="00B52563">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1EA654D" w14:textId="77777777" w:rsidR="00B52563" w:rsidRPr="00272A6C" w:rsidRDefault="00B52563" w:rsidP="00B52563">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83D0B26" w14:textId="77777777" w:rsidR="00B52563" w:rsidRPr="00272A6C" w:rsidRDefault="00B52563" w:rsidP="00B52563">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48E171EB" w14:textId="526C3090"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INJ SOL</w:t>
            </w:r>
          </w:p>
        </w:tc>
        <w:tc>
          <w:tcPr>
            <w:tcW w:w="453" w:type="pct"/>
            <w:gridSpan w:val="2"/>
            <w:tcBorders>
              <w:top w:val="nil"/>
              <w:left w:val="nil"/>
              <w:bottom w:val="single" w:sz="8" w:space="0" w:color="000000"/>
              <w:right w:val="single" w:sz="4" w:space="0" w:color="auto"/>
            </w:tcBorders>
            <w:shd w:val="clear" w:color="auto" w:fill="auto"/>
            <w:noWrap/>
            <w:vAlign w:val="center"/>
          </w:tcPr>
          <w:p w14:paraId="0BDC184B" w14:textId="1B8FE473"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 x 100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159CB982" w14:textId="77777777" w:rsidR="00B52563" w:rsidRPr="00272A6C" w:rsidRDefault="00B52563" w:rsidP="00B52563">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388575E9" w14:textId="77777777" w:rsidR="00B52563" w:rsidRPr="00272A6C" w:rsidRDefault="00B52563" w:rsidP="00B52563">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730942A2" w14:textId="77777777" w:rsidR="00B52563" w:rsidRPr="00272A6C" w:rsidRDefault="00B52563" w:rsidP="00B52563">
            <w:pPr>
              <w:jc w:val="center"/>
              <w:rPr>
                <w:rFonts w:ascii="Calibri" w:hAnsi="Calibri" w:cs="Calibri"/>
                <w:b/>
                <w:bCs/>
                <w:color w:val="000000"/>
                <w:sz w:val="20"/>
                <w:szCs w:val="20"/>
              </w:rPr>
            </w:pPr>
          </w:p>
        </w:tc>
      </w:tr>
      <w:tr w:rsidR="00B52563" w:rsidRPr="00B167CC" w14:paraId="6C75E2A8"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5E247A90" w14:textId="54DDF216"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9.</w:t>
            </w:r>
          </w:p>
        </w:tc>
        <w:tc>
          <w:tcPr>
            <w:tcW w:w="809" w:type="pct"/>
            <w:tcBorders>
              <w:top w:val="nil"/>
              <w:left w:val="single" w:sz="4" w:space="0" w:color="auto"/>
              <w:bottom w:val="single" w:sz="8" w:space="0" w:color="000000"/>
              <w:right w:val="single" w:sz="4" w:space="0" w:color="auto"/>
            </w:tcBorders>
            <w:shd w:val="clear" w:color="auto" w:fill="auto"/>
            <w:vAlign w:val="center"/>
          </w:tcPr>
          <w:p w14:paraId="387EDFEC" w14:textId="62AE81F4"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Jomeprol 400 mg I/ml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76613301" w14:textId="62AA18DC" w:rsidR="00B52563" w:rsidRPr="00272A6C" w:rsidRDefault="00B52563" w:rsidP="00B52563">
            <w:pPr>
              <w:jc w:val="center"/>
              <w:rPr>
                <w:rFonts w:ascii="Calibri" w:hAnsi="Calibri" w:cs="Calibri"/>
                <w:color w:val="000000"/>
                <w:sz w:val="20"/>
                <w:szCs w:val="20"/>
              </w:rPr>
            </w:pPr>
            <w:r>
              <w:rPr>
                <w:rFonts w:ascii="Calibri" w:hAnsi="Calibri" w:cs="Calibri"/>
                <w:color w:val="000000"/>
                <w:sz w:val="22"/>
                <w:szCs w:val="22"/>
              </w:rPr>
              <w:t>V08AB10</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09EE9824" w14:textId="77777777" w:rsidR="00B52563" w:rsidRPr="00272A6C" w:rsidRDefault="00B52563" w:rsidP="00B52563">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214F4A69" w14:textId="77777777" w:rsidR="00B52563" w:rsidRPr="00272A6C" w:rsidRDefault="00B52563" w:rsidP="00B52563">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9E673DC" w14:textId="77777777" w:rsidR="00B52563" w:rsidRPr="00272A6C" w:rsidRDefault="00B52563" w:rsidP="00B52563">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18F7B756" w14:textId="511B2763"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INJ SOL</w:t>
            </w:r>
          </w:p>
        </w:tc>
        <w:tc>
          <w:tcPr>
            <w:tcW w:w="453" w:type="pct"/>
            <w:gridSpan w:val="2"/>
            <w:tcBorders>
              <w:top w:val="nil"/>
              <w:left w:val="nil"/>
              <w:bottom w:val="single" w:sz="8" w:space="0" w:color="000000"/>
              <w:right w:val="single" w:sz="4" w:space="0" w:color="auto"/>
            </w:tcBorders>
            <w:shd w:val="clear" w:color="auto" w:fill="auto"/>
            <w:noWrap/>
            <w:vAlign w:val="center"/>
          </w:tcPr>
          <w:p w14:paraId="72410DD2" w14:textId="19C2DFFA"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 x 200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44BC183E" w14:textId="77777777" w:rsidR="00B52563" w:rsidRPr="00272A6C" w:rsidRDefault="00B52563" w:rsidP="00B52563">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EFACC2D" w14:textId="77777777" w:rsidR="00B52563" w:rsidRPr="00272A6C" w:rsidRDefault="00B52563" w:rsidP="00B52563">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7677C963" w14:textId="77777777" w:rsidR="00B52563" w:rsidRPr="00272A6C" w:rsidRDefault="00B52563" w:rsidP="00B52563">
            <w:pPr>
              <w:jc w:val="center"/>
              <w:rPr>
                <w:rFonts w:ascii="Calibri" w:hAnsi="Calibri" w:cs="Calibri"/>
                <w:b/>
                <w:bCs/>
                <w:color w:val="000000"/>
                <w:sz w:val="20"/>
                <w:szCs w:val="20"/>
              </w:rPr>
            </w:pPr>
          </w:p>
        </w:tc>
      </w:tr>
      <w:tr w:rsidR="00B52563" w:rsidRPr="00B167CC" w14:paraId="1334740C" w14:textId="77777777" w:rsidTr="00272A6C">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tcPr>
          <w:p w14:paraId="168DFFBF" w14:textId="19E355A9"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10.</w:t>
            </w:r>
          </w:p>
        </w:tc>
        <w:tc>
          <w:tcPr>
            <w:tcW w:w="809" w:type="pct"/>
            <w:tcBorders>
              <w:top w:val="nil"/>
              <w:left w:val="single" w:sz="4" w:space="0" w:color="auto"/>
              <w:bottom w:val="single" w:sz="8" w:space="0" w:color="000000"/>
              <w:right w:val="single" w:sz="4" w:space="0" w:color="auto"/>
            </w:tcBorders>
            <w:shd w:val="clear" w:color="auto" w:fill="auto"/>
            <w:vAlign w:val="center"/>
          </w:tcPr>
          <w:p w14:paraId="609911A9" w14:textId="334BEEBA"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Jomeprol 400 mg I/ml</w:t>
            </w:r>
          </w:p>
        </w:tc>
        <w:tc>
          <w:tcPr>
            <w:tcW w:w="443" w:type="pct"/>
            <w:tcBorders>
              <w:top w:val="nil"/>
              <w:left w:val="single" w:sz="4" w:space="0" w:color="auto"/>
              <w:bottom w:val="single" w:sz="8" w:space="0" w:color="000000"/>
              <w:right w:val="single" w:sz="4" w:space="0" w:color="auto"/>
            </w:tcBorders>
            <w:shd w:val="clear" w:color="auto" w:fill="auto"/>
            <w:noWrap/>
            <w:vAlign w:val="center"/>
          </w:tcPr>
          <w:p w14:paraId="6B4760FA" w14:textId="676A7216" w:rsidR="00B52563" w:rsidRPr="00272A6C" w:rsidRDefault="00B52563" w:rsidP="00B52563">
            <w:pPr>
              <w:jc w:val="center"/>
              <w:rPr>
                <w:rFonts w:ascii="Calibri" w:hAnsi="Calibri" w:cs="Calibri"/>
                <w:color w:val="000000"/>
                <w:sz w:val="20"/>
                <w:szCs w:val="20"/>
              </w:rPr>
            </w:pPr>
            <w:r>
              <w:rPr>
                <w:rFonts w:ascii="Calibri" w:hAnsi="Calibri" w:cs="Calibri"/>
                <w:color w:val="000000"/>
                <w:sz w:val="22"/>
                <w:szCs w:val="22"/>
              </w:rPr>
              <w:t>V08AB10</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2C6035D5" w14:textId="77777777" w:rsidR="00B52563" w:rsidRPr="00272A6C" w:rsidRDefault="00B52563" w:rsidP="00B52563">
            <w:pPr>
              <w:jc w:val="center"/>
              <w:rPr>
                <w:rFonts w:ascii="Calibri" w:hAnsi="Calibri" w:cs="Calibri"/>
                <w:b/>
                <w:bCs/>
                <w:color w:val="000000"/>
                <w:sz w:val="20"/>
                <w:szCs w:val="20"/>
              </w:rPr>
            </w:pP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1FDEC26" w14:textId="77777777" w:rsidR="00B52563" w:rsidRPr="00272A6C" w:rsidRDefault="00B52563" w:rsidP="00B52563">
            <w:pPr>
              <w:jc w:val="center"/>
              <w:rPr>
                <w:rFonts w:ascii="Calibri" w:hAnsi="Calibri" w:cs="Calibri"/>
                <w:b/>
                <w:bCs/>
                <w:color w:val="000000"/>
                <w:sz w:val="20"/>
                <w:szCs w:val="20"/>
              </w:rPr>
            </w:pP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5591106" w14:textId="77777777" w:rsidR="00B52563" w:rsidRPr="00272A6C" w:rsidRDefault="00B52563" w:rsidP="00B52563">
            <w:pPr>
              <w:jc w:val="center"/>
              <w:rPr>
                <w:rFonts w:ascii="Calibri" w:hAnsi="Calibri" w:cs="Calibri"/>
                <w:b/>
                <w:bCs/>
                <w:color w:val="000000"/>
                <w:sz w:val="20"/>
                <w:szCs w:val="20"/>
              </w:rPr>
            </w:pP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44EED4E5" w14:textId="6D5BCD62"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INJ SOL</w:t>
            </w:r>
          </w:p>
        </w:tc>
        <w:tc>
          <w:tcPr>
            <w:tcW w:w="453" w:type="pct"/>
            <w:gridSpan w:val="2"/>
            <w:tcBorders>
              <w:top w:val="nil"/>
              <w:left w:val="nil"/>
              <w:bottom w:val="single" w:sz="8" w:space="0" w:color="000000"/>
              <w:right w:val="single" w:sz="4" w:space="0" w:color="auto"/>
            </w:tcBorders>
            <w:shd w:val="clear" w:color="auto" w:fill="auto"/>
            <w:noWrap/>
            <w:vAlign w:val="center"/>
          </w:tcPr>
          <w:p w14:paraId="196A2B21" w14:textId="75E31984"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 x 500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1905424B" w14:textId="77777777" w:rsidR="00B52563" w:rsidRPr="00272A6C" w:rsidRDefault="00B52563" w:rsidP="00B52563">
            <w:pPr>
              <w:jc w:val="center"/>
              <w:rPr>
                <w:rFonts w:ascii="Calibri" w:hAnsi="Calibri" w:cs="Calibri"/>
                <w:b/>
                <w:bCs/>
                <w:color w:val="000000"/>
                <w:sz w:val="20"/>
                <w:szCs w:val="20"/>
              </w:rPr>
            </w:pP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9CCFEA6" w14:textId="77777777" w:rsidR="00B52563" w:rsidRPr="00272A6C" w:rsidRDefault="00B52563" w:rsidP="00B52563">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48522A7A" w14:textId="77777777" w:rsidR="00B52563" w:rsidRPr="00272A6C" w:rsidRDefault="00B52563" w:rsidP="00B52563">
            <w:pPr>
              <w:jc w:val="center"/>
              <w:rPr>
                <w:rFonts w:ascii="Calibri" w:hAnsi="Calibri" w:cs="Calibri"/>
                <w:b/>
                <w:bCs/>
                <w:color w:val="000000"/>
                <w:sz w:val="20"/>
                <w:szCs w:val="20"/>
              </w:rPr>
            </w:pPr>
          </w:p>
        </w:tc>
      </w:tr>
      <w:tr w:rsidR="00B52563" w:rsidRPr="00B167CC" w14:paraId="49A116FC" w14:textId="77777777" w:rsidTr="00B52563">
        <w:trPr>
          <w:gridAfter w:val="1"/>
          <w:wAfter w:w="48" w:type="pct"/>
          <w:trHeight w:val="458"/>
        </w:trPr>
        <w:tc>
          <w:tcPr>
            <w:tcW w:w="278" w:type="pct"/>
            <w:tcBorders>
              <w:top w:val="nil"/>
              <w:left w:val="single" w:sz="8" w:space="0" w:color="auto"/>
              <w:bottom w:val="single" w:sz="8" w:space="0" w:color="000000"/>
              <w:right w:val="single" w:sz="4" w:space="0" w:color="auto"/>
            </w:tcBorders>
            <w:shd w:val="clear" w:color="auto" w:fill="auto"/>
            <w:noWrap/>
            <w:vAlign w:val="center"/>
            <w:hideMark/>
          </w:tcPr>
          <w:p w14:paraId="568D4230" w14:textId="3D88A854"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11.</w:t>
            </w:r>
          </w:p>
        </w:tc>
        <w:tc>
          <w:tcPr>
            <w:tcW w:w="809" w:type="pct"/>
            <w:tcBorders>
              <w:top w:val="nil"/>
              <w:left w:val="single" w:sz="4" w:space="0" w:color="auto"/>
              <w:bottom w:val="single" w:sz="8" w:space="0" w:color="000000"/>
              <w:right w:val="single" w:sz="4" w:space="0" w:color="auto"/>
            </w:tcBorders>
            <w:shd w:val="clear" w:color="auto" w:fill="auto"/>
            <w:vAlign w:val="center"/>
            <w:hideMark/>
          </w:tcPr>
          <w:p w14:paraId="0431135E" w14:textId="44AE1F5A"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Jomeprol 400 mg I/ml</w:t>
            </w:r>
          </w:p>
        </w:tc>
        <w:tc>
          <w:tcPr>
            <w:tcW w:w="443" w:type="pct"/>
            <w:tcBorders>
              <w:top w:val="nil"/>
              <w:left w:val="single" w:sz="4" w:space="0" w:color="auto"/>
              <w:bottom w:val="single" w:sz="8" w:space="0" w:color="000000"/>
              <w:right w:val="single" w:sz="4" w:space="0" w:color="auto"/>
            </w:tcBorders>
            <w:shd w:val="clear" w:color="auto" w:fill="auto"/>
            <w:noWrap/>
            <w:vAlign w:val="center"/>
            <w:hideMark/>
          </w:tcPr>
          <w:p w14:paraId="69C0AE26" w14:textId="79B0902D" w:rsidR="00B52563" w:rsidRPr="00272A6C" w:rsidRDefault="00B52563" w:rsidP="00B52563">
            <w:pPr>
              <w:jc w:val="center"/>
              <w:rPr>
                <w:rFonts w:ascii="Calibri" w:hAnsi="Calibri" w:cs="Calibri"/>
                <w:color w:val="000000"/>
                <w:sz w:val="20"/>
                <w:szCs w:val="20"/>
              </w:rPr>
            </w:pPr>
            <w:r>
              <w:rPr>
                <w:rFonts w:ascii="Calibri" w:hAnsi="Calibri" w:cs="Calibri"/>
                <w:color w:val="000000"/>
                <w:sz w:val="22"/>
                <w:szCs w:val="22"/>
              </w:rPr>
              <w:t>V08AB10</w:t>
            </w:r>
          </w:p>
        </w:tc>
        <w:tc>
          <w:tcPr>
            <w:tcW w:w="395"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FE5E011" w14:textId="77777777" w:rsidR="00B52563" w:rsidRPr="00272A6C" w:rsidRDefault="00B52563" w:rsidP="00B52563">
            <w:pPr>
              <w:jc w:val="center"/>
              <w:rPr>
                <w:rFonts w:ascii="Calibri" w:hAnsi="Calibri" w:cs="Calibri"/>
                <w:b/>
                <w:bCs/>
                <w:color w:val="000000"/>
                <w:sz w:val="20"/>
                <w:szCs w:val="20"/>
              </w:rPr>
            </w:pPr>
            <w:r w:rsidRPr="00272A6C">
              <w:rPr>
                <w:rFonts w:ascii="Calibri" w:hAnsi="Calibri" w:cs="Calibri"/>
                <w:b/>
                <w:bCs/>
                <w:color w:val="000000"/>
                <w:sz w:val="20"/>
                <w:szCs w:val="20"/>
              </w:rPr>
              <w:t> </w:t>
            </w:r>
          </w:p>
        </w:tc>
        <w:tc>
          <w:tcPr>
            <w:tcW w:w="556"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0D1B41B" w14:textId="77777777" w:rsidR="00B52563" w:rsidRPr="00272A6C" w:rsidRDefault="00B52563" w:rsidP="00B52563">
            <w:pPr>
              <w:jc w:val="center"/>
              <w:rPr>
                <w:rFonts w:ascii="Calibri" w:hAnsi="Calibri" w:cs="Calibri"/>
                <w:b/>
                <w:bCs/>
                <w:color w:val="000000"/>
                <w:sz w:val="20"/>
                <w:szCs w:val="20"/>
              </w:rPr>
            </w:pPr>
            <w:r w:rsidRPr="00272A6C">
              <w:rPr>
                <w:rFonts w:ascii="Calibri" w:hAnsi="Calibri" w:cs="Calibri"/>
                <w:b/>
                <w:bCs/>
                <w:color w:val="000000"/>
                <w:sz w:val="20"/>
                <w:szCs w:val="20"/>
              </w:rPr>
              <w:t> </w:t>
            </w:r>
          </w:p>
        </w:tc>
        <w:tc>
          <w:tcPr>
            <w:tcW w:w="44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7F75809" w14:textId="77777777" w:rsidR="00B52563" w:rsidRPr="00272A6C" w:rsidRDefault="00B52563" w:rsidP="00B52563">
            <w:pPr>
              <w:jc w:val="center"/>
              <w:rPr>
                <w:rFonts w:ascii="Calibri" w:hAnsi="Calibri" w:cs="Calibri"/>
                <w:b/>
                <w:bCs/>
                <w:color w:val="000000"/>
                <w:sz w:val="20"/>
                <w:szCs w:val="20"/>
              </w:rPr>
            </w:pPr>
            <w:r w:rsidRPr="00272A6C">
              <w:rPr>
                <w:rFonts w:ascii="Calibri" w:hAnsi="Calibri" w:cs="Calibri"/>
                <w:b/>
                <w:bCs/>
                <w:color w:val="000000"/>
                <w:sz w:val="20"/>
                <w:szCs w:val="20"/>
              </w:rPr>
              <w:t> </w:t>
            </w:r>
          </w:p>
        </w:tc>
        <w:tc>
          <w:tcPr>
            <w:tcW w:w="568" w:type="pct"/>
            <w:gridSpan w:val="2"/>
            <w:tcBorders>
              <w:top w:val="nil"/>
              <w:left w:val="single" w:sz="4" w:space="0" w:color="auto"/>
              <w:bottom w:val="single" w:sz="8" w:space="0" w:color="000000"/>
              <w:right w:val="single" w:sz="4" w:space="0" w:color="auto"/>
            </w:tcBorders>
            <w:shd w:val="clear" w:color="auto" w:fill="auto"/>
            <w:vAlign w:val="center"/>
          </w:tcPr>
          <w:p w14:paraId="06F91E26" w14:textId="3CA42E36"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INJ SOL</w:t>
            </w:r>
          </w:p>
        </w:tc>
        <w:tc>
          <w:tcPr>
            <w:tcW w:w="453" w:type="pct"/>
            <w:gridSpan w:val="2"/>
            <w:tcBorders>
              <w:top w:val="nil"/>
              <w:left w:val="nil"/>
              <w:bottom w:val="single" w:sz="8" w:space="0" w:color="000000"/>
              <w:right w:val="single" w:sz="4" w:space="0" w:color="auto"/>
            </w:tcBorders>
            <w:shd w:val="clear" w:color="auto" w:fill="auto"/>
            <w:noWrap/>
            <w:vAlign w:val="center"/>
          </w:tcPr>
          <w:p w14:paraId="1E065938" w14:textId="018DAA62" w:rsidR="00B52563" w:rsidRPr="00272A6C" w:rsidRDefault="00B52563" w:rsidP="00B52563">
            <w:pPr>
              <w:jc w:val="center"/>
              <w:rPr>
                <w:rFonts w:ascii="Calibri" w:hAnsi="Calibri" w:cs="Calibri"/>
                <w:b/>
                <w:bCs/>
                <w:color w:val="000000"/>
                <w:sz w:val="20"/>
                <w:szCs w:val="20"/>
              </w:rPr>
            </w:pPr>
            <w:r>
              <w:rPr>
                <w:rFonts w:ascii="Calibri" w:hAnsi="Calibri" w:cs="Calibri"/>
                <w:b/>
                <w:bCs/>
                <w:color w:val="000000"/>
                <w:sz w:val="22"/>
                <w:szCs w:val="22"/>
              </w:rPr>
              <w:t>1 x 50 ml</w:t>
            </w:r>
          </w:p>
        </w:tc>
        <w:tc>
          <w:tcPr>
            <w:tcW w:w="337"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749982C5" w14:textId="77777777" w:rsidR="00B52563" w:rsidRPr="00272A6C" w:rsidRDefault="00B52563" w:rsidP="00B52563">
            <w:pPr>
              <w:jc w:val="center"/>
              <w:rPr>
                <w:rFonts w:ascii="Calibri" w:hAnsi="Calibri" w:cs="Calibri"/>
                <w:b/>
                <w:bCs/>
                <w:color w:val="000000"/>
                <w:sz w:val="20"/>
                <w:szCs w:val="20"/>
              </w:rPr>
            </w:pPr>
            <w:r w:rsidRPr="00272A6C">
              <w:rPr>
                <w:rFonts w:ascii="Calibri" w:hAnsi="Calibri" w:cs="Calibri"/>
                <w:b/>
                <w:bCs/>
                <w:color w:val="000000"/>
                <w:sz w:val="20"/>
                <w:szCs w:val="20"/>
              </w:rPr>
              <w:t> </w:t>
            </w:r>
          </w:p>
        </w:tc>
        <w:tc>
          <w:tcPr>
            <w:tcW w:w="32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403AC012" w14:textId="77777777" w:rsidR="00B52563" w:rsidRPr="00272A6C" w:rsidRDefault="00B52563" w:rsidP="00B52563">
            <w:pPr>
              <w:jc w:val="center"/>
              <w:rPr>
                <w:rFonts w:ascii="Calibri" w:hAnsi="Calibri" w:cs="Calibri"/>
                <w:b/>
                <w:bCs/>
                <w:color w:val="000000"/>
                <w:sz w:val="20"/>
                <w:szCs w:val="20"/>
              </w:rPr>
            </w:pPr>
          </w:p>
        </w:tc>
        <w:tc>
          <w:tcPr>
            <w:tcW w:w="338"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28E739CC" w14:textId="77777777" w:rsidR="00B52563" w:rsidRPr="00272A6C" w:rsidRDefault="00B52563" w:rsidP="00B52563">
            <w:pPr>
              <w:jc w:val="center"/>
              <w:rPr>
                <w:rFonts w:ascii="Calibri" w:hAnsi="Calibri" w:cs="Calibri"/>
                <w:b/>
                <w:bCs/>
                <w:color w:val="000000"/>
                <w:sz w:val="20"/>
                <w:szCs w:val="20"/>
              </w:rPr>
            </w:pPr>
            <w:r w:rsidRPr="00272A6C">
              <w:rPr>
                <w:rFonts w:ascii="Calibri" w:hAnsi="Calibri" w:cs="Calibri"/>
                <w:b/>
                <w:bCs/>
                <w:color w:val="000000"/>
                <w:sz w:val="20"/>
                <w:szCs w:val="20"/>
              </w:rPr>
              <w:t> </w:t>
            </w:r>
          </w:p>
        </w:tc>
      </w:tr>
    </w:tbl>
    <w:p w14:paraId="43FB8D26" w14:textId="77777777" w:rsidR="00B167CC" w:rsidRPr="00B167CC" w:rsidRDefault="00B167CC" w:rsidP="00B167CC"/>
    <w:p w14:paraId="2462CF36" w14:textId="77777777" w:rsidR="00B167CC" w:rsidRPr="00B167CC" w:rsidRDefault="00B167CC" w:rsidP="00B167CC"/>
    <w:p w14:paraId="7DB40D60" w14:textId="77777777" w:rsidR="00B167CC" w:rsidRPr="00B167CC" w:rsidRDefault="00B167CC" w:rsidP="00B167CC"/>
    <w:p w14:paraId="0C964BCB" w14:textId="77777777" w:rsidR="00B52563" w:rsidRDefault="00B52563">
      <w:pPr>
        <w:spacing w:after="160" w:line="259" w:lineRule="auto"/>
        <w:rPr>
          <w:rFonts w:ascii="Arial" w:hAnsi="Arial" w:cs="Arial"/>
        </w:rPr>
      </w:pPr>
      <w:r>
        <w:rPr>
          <w:rFonts w:ascii="Arial" w:hAnsi="Arial" w:cs="Arial"/>
        </w:rPr>
        <w:br w:type="page"/>
      </w:r>
    </w:p>
    <w:p w14:paraId="7F721601" w14:textId="6400C519" w:rsidR="00B167CC" w:rsidRPr="00B167CC" w:rsidRDefault="00B167CC" w:rsidP="00B167CC">
      <w:pPr>
        <w:rPr>
          <w:rFonts w:ascii="Arial" w:hAnsi="Arial" w:cs="Arial"/>
          <w:b/>
          <w:sz w:val="20"/>
          <w:szCs w:val="20"/>
        </w:rPr>
      </w:pPr>
      <w:r w:rsidRPr="00B167CC">
        <w:rPr>
          <w:rFonts w:ascii="Arial" w:hAnsi="Arial" w:cs="Arial"/>
        </w:rPr>
        <w:lastRenderedPageBreak/>
        <w:tab/>
      </w:r>
      <w:r w:rsidRPr="00B167CC">
        <w:rPr>
          <w:rFonts w:ascii="Arial" w:hAnsi="Arial" w:cs="Arial"/>
          <w:b/>
          <w:sz w:val="20"/>
          <w:szCs w:val="20"/>
          <w:u w:val="single"/>
        </w:rPr>
        <w:t>Specifikace jednotlivých položek</w:t>
      </w:r>
      <w:r w:rsidRPr="00B167CC">
        <w:rPr>
          <w:rFonts w:ascii="Arial" w:hAnsi="Arial" w:cs="Arial"/>
          <w:b/>
          <w:sz w:val="20"/>
          <w:szCs w:val="20"/>
        </w:rPr>
        <w:t>:</w:t>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p>
    <w:p w14:paraId="56C32790" w14:textId="77777777" w:rsidR="00B167CC" w:rsidRPr="00B167CC" w:rsidRDefault="00B167CC" w:rsidP="00B167CC">
      <w:pPr>
        <w:rPr>
          <w:rFonts w:ascii="Arial" w:hAnsi="Arial" w:cs="Arial"/>
          <w:sz w:val="20"/>
          <w:szCs w:val="20"/>
        </w:rPr>
      </w:pP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p>
    <w:p w14:paraId="17D19B41" w14:textId="353FAA14" w:rsidR="00B167CC" w:rsidRPr="00B167CC" w:rsidRDefault="00B167CC" w:rsidP="00B167CC">
      <w:pPr>
        <w:rPr>
          <w:rFonts w:ascii="Arial" w:hAnsi="Arial" w:cs="Arial"/>
          <w:sz w:val="20"/>
          <w:szCs w:val="20"/>
        </w:rPr>
      </w:pPr>
      <w:r w:rsidRPr="00B167CC">
        <w:rPr>
          <w:rFonts w:ascii="Arial" w:hAnsi="Arial" w:cs="Arial"/>
          <w:sz w:val="20"/>
          <w:szCs w:val="20"/>
        </w:rPr>
        <w:t>1.</w:t>
      </w:r>
      <w:r w:rsidRPr="00B167CC">
        <w:rPr>
          <w:rFonts w:ascii="Arial" w:hAnsi="Arial" w:cs="Arial"/>
          <w:sz w:val="20"/>
          <w:szCs w:val="20"/>
        </w:rPr>
        <w:tab/>
      </w:r>
      <w:r w:rsidR="00B52563" w:rsidRPr="00B52563">
        <w:rPr>
          <w:rFonts w:ascii="Arial" w:hAnsi="Arial" w:cs="Arial"/>
          <w:sz w:val="20"/>
          <w:szCs w:val="20"/>
        </w:rPr>
        <w:t>Jedna injekční lahvička obsahuje 300 mg jódu/ml, tzn. Iomepr</w:t>
      </w:r>
      <w:r w:rsidR="00B52563">
        <w:rPr>
          <w:rFonts w:ascii="Arial" w:hAnsi="Arial" w:cs="Arial"/>
          <w:sz w:val="20"/>
          <w:szCs w:val="20"/>
        </w:rPr>
        <w:t>olum 61,24 mg ve 100 ml roztoku</w:t>
      </w:r>
      <w:r w:rsidR="00272A6C" w:rsidRPr="00272A6C">
        <w:rPr>
          <w:rFonts w:ascii="Arial" w:hAnsi="Arial" w:cs="Arial"/>
          <w:sz w:val="20"/>
          <w:szCs w:val="20"/>
        </w:rPr>
        <w:t>.</w:t>
      </w:r>
    </w:p>
    <w:p w14:paraId="78EACE2B" w14:textId="49BA9DD9" w:rsidR="00272A6C" w:rsidRDefault="00B167CC" w:rsidP="00B167CC">
      <w:pPr>
        <w:rPr>
          <w:rFonts w:ascii="Arial" w:hAnsi="Arial" w:cs="Arial"/>
          <w:sz w:val="20"/>
          <w:szCs w:val="20"/>
        </w:rPr>
      </w:pPr>
      <w:r w:rsidRPr="00B167CC">
        <w:rPr>
          <w:rFonts w:ascii="Arial" w:hAnsi="Arial" w:cs="Arial"/>
          <w:sz w:val="20"/>
          <w:szCs w:val="20"/>
        </w:rPr>
        <w:t xml:space="preserve">2. </w:t>
      </w:r>
      <w:r w:rsidRPr="00B167CC">
        <w:rPr>
          <w:rFonts w:ascii="Arial" w:hAnsi="Arial" w:cs="Arial"/>
          <w:sz w:val="20"/>
          <w:szCs w:val="20"/>
        </w:rPr>
        <w:tab/>
      </w:r>
      <w:r w:rsidR="00B52563" w:rsidRPr="00B52563">
        <w:rPr>
          <w:rFonts w:ascii="Arial" w:hAnsi="Arial" w:cs="Arial"/>
          <w:sz w:val="20"/>
          <w:szCs w:val="20"/>
        </w:rPr>
        <w:t>Jedna injekční lahvička obsahuje 300 mg jódu/ml, tzn. Iomeprolum 61,24 mg ve 100 ml roztoku.</w:t>
      </w:r>
    </w:p>
    <w:p w14:paraId="1C52C2FE" w14:textId="7CEB3EBD" w:rsidR="00272A6C" w:rsidRDefault="00272A6C" w:rsidP="00B167CC">
      <w:pPr>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00B52563" w:rsidRPr="00B52563">
        <w:rPr>
          <w:rFonts w:ascii="Arial" w:hAnsi="Arial" w:cs="Arial"/>
          <w:sz w:val="20"/>
          <w:szCs w:val="20"/>
        </w:rPr>
        <w:t>Jedna injekční lahvička obsahuje 300 mg jódu/ml, tzn. Iomeprolum 61,24 mg ve 100 ml roztoku.</w:t>
      </w:r>
      <w:r w:rsidR="00B167CC" w:rsidRPr="00B167CC">
        <w:rPr>
          <w:rFonts w:ascii="Arial" w:hAnsi="Arial" w:cs="Arial"/>
          <w:sz w:val="20"/>
          <w:szCs w:val="20"/>
        </w:rPr>
        <w:tab/>
      </w:r>
    </w:p>
    <w:p w14:paraId="6FFDC9EE" w14:textId="77777777" w:rsidR="00B52563" w:rsidRDefault="00272A6C" w:rsidP="00B167CC">
      <w:pPr>
        <w:rPr>
          <w:rFonts w:ascii="Arial" w:hAnsi="Arial" w:cs="Arial"/>
          <w:sz w:val="20"/>
          <w:szCs w:val="20"/>
        </w:rPr>
      </w:pPr>
      <w:r>
        <w:rPr>
          <w:rFonts w:ascii="Arial" w:hAnsi="Arial" w:cs="Arial"/>
          <w:sz w:val="20"/>
          <w:szCs w:val="20"/>
        </w:rPr>
        <w:t>4.</w:t>
      </w:r>
      <w:r>
        <w:rPr>
          <w:rFonts w:ascii="Arial" w:hAnsi="Arial" w:cs="Arial"/>
          <w:sz w:val="20"/>
          <w:szCs w:val="20"/>
        </w:rPr>
        <w:tab/>
      </w:r>
      <w:r w:rsidR="00B52563" w:rsidRPr="00B52563">
        <w:rPr>
          <w:rFonts w:ascii="Arial" w:hAnsi="Arial" w:cs="Arial"/>
          <w:sz w:val="20"/>
          <w:szCs w:val="20"/>
        </w:rPr>
        <w:t>Jedna injekční lahvička obsahuje 300 mg jódu/ml, tzn. Iomeprolum 61,24 mg ve 100 ml roztoku.</w:t>
      </w:r>
      <w:r w:rsidR="00B167CC" w:rsidRPr="00B167CC">
        <w:rPr>
          <w:rFonts w:ascii="Arial" w:hAnsi="Arial" w:cs="Arial"/>
          <w:sz w:val="20"/>
          <w:szCs w:val="20"/>
        </w:rPr>
        <w:tab/>
      </w:r>
    </w:p>
    <w:p w14:paraId="3776FAC5" w14:textId="77777777" w:rsidR="00B52563" w:rsidRDefault="00B52563" w:rsidP="00B167CC">
      <w:pPr>
        <w:rPr>
          <w:rFonts w:ascii="Arial" w:hAnsi="Arial" w:cs="Arial"/>
          <w:sz w:val="20"/>
          <w:szCs w:val="20"/>
        </w:rPr>
      </w:pPr>
      <w:r>
        <w:rPr>
          <w:rFonts w:ascii="Arial" w:hAnsi="Arial" w:cs="Arial"/>
          <w:sz w:val="20"/>
          <w:szCs w:val="20"/>
        </w:rPr>
        <w:t>5.</w:t>
      </w:r>
      <w:r>
        <w:rPr>
          <w:rFonts w:ascii="Arial" w:hAnsi="Arial" w:cs="Arial"/>
          <w:sz w:val="20"/>
          <w:szCs w:val="20"/>
        </w:rPr>
        <w:tab/>
      </w:r>
      <w:r w:rsidRPr="00B52563">
        <w:rPr>
          <w:rFonts w:ascii="Arial" w:hAnsi="Arial" w:cs="Arial"/>
          <w:sz w:val="20"/>
          <w:szCs w:val="20"/>
        </w:rPr>
        <w:t>Jedna injekční lahvička obsahuje 350 mg jódu/ml, tzn. Iomeprolum 71,44 mg ve 100 ml roztoku.</w:t>
      </w:r>
    </w:p>
    <w:p w14:paraId="178547C5" w14:textId="77777777" w:rsidR="00B52563" w:rsidRDefault="00B52563" w:rsidP="00B167CC">
      <w:pPr>
        <w:rPr>
          <w:rFonts w:ascii="Arial" w:hAnsi="Arial" w:cs="Arial"/>
          <w:sz w:val="20"/>
          <w:szCs w:val="20"/>
        </w:rPr>
      </w:pPr>
      <w:r>
        <w:rPr>
          <w:rFonts w:ascii="Arial" w:hAnsi="Arial" w:cs="Arial"/>
          <w:sz w:val="20"/>
          <w:szCs w:val="20"/>
        </w:rPr>
        <w:t>6.</w:t>
      </w:r>
      <w:r>
        <w:rPr>
          <w:rFonts w:ascii="Arial" w:hAnsi="Arial" w:cs="Arial"/>
          <w:sz w:val="20"/>
          <w:szCs w:val="20"/>
        </w:rPr>
        <w:tab/>
      </w:r>
      <w:r w:rsidRPr="00B52563">
        <w:rPr>
          <w:rFonts w:ascii="Arial" w:hAnsi="Arial" w:cs="Arial"/>
          <w:sz w:val="20"/>
          <w:szCs w:val="20"/>
        </w:rPr>
        <w:t>Jedna injekční lahvička obsahuje 350 mg jódu/ml, tzn. Iomeprolum 71,44 mg ve 100 ml roztoku.</w:t>
      </w:r>
    </w:p>
    <w:p w14:paraId="46A5D8BC" w14:textId="45F1B0C0" w:rsidR="00B52563" w:rsidRDefault="00B52563" w:rsidP="00B167CC">
      <w:pPr>
        <w:rPr>
          <w:rFonts w:ascii="Arial" w:hAnsi="Arial" w:cs="Arial"/>
          <w:sz w:val="20"/>
          <w:szCs w:val="20"/>
        </w:rPr>
      </w:pPr>
      <w:r>
        <w:rPr>
          <w:rFonts w:ascii="Arial" w:hAnsi="Arial" w:cs="Arial"/>
          <w:sz w:val="20"/>
          <w:szCs w:val="20"/>
        </w:rPr>
        <w:t xml:space="preserve">7. </w:t>
      </w:r>
      <w:r>
        <w:rPr>
          <w:rFonts w:ascii="Arial" w:hAnsi="Arial" w:cs="Arial"/>
          <w:sz w:val="20"/>
          <w:szCs w:val="20"/>
        </w:rPr>
        <w:tab/>
      </w:r>
      <w:r w:rsidRPr="00B52563">
        <w:rPr>
          <w:rFonts w:ascii="Arial" w:hAnsi="Arial" w:cs="Arial"/>
          <w:sz w:val="20"/>
          <w:szCs w:val="20"/>
        </w:rPr>
        <w:t>Jedna injekční lahvička obsahuje 350 mg jódu/ml, tzn. Iomeprolum 71,44 mg ve 100 ml roztoku.</w:t>
      </w:r>
    </w:p>
    <w:p w14:paraId="64168326" w14:textId="4DBEEF70" w:rsidR="00B52563" w:rsidRDefault="00B52563" w:rsidP="00B167CC">
      <w:pPr>
        <w:rPr>
          <w:rFonts w:ascii="Arial" w:hAnsi="Arial" w:cs="Arial"/>
          <w:sz w:val="20"/>
          <w:szCs w:val="20"/>
        </w:rPr>
      </w:pPr>
      <w:r>
        <w:rPr>
          <w:rFonts w:ascii="Arial" w:hAnsi="Arial" w:cs="Arial"/>
          <w:sz w:val="20"/>
          <w:szCs w:val="20"/>
        </w:rPr>
        <w:t>8.</w:t>
      </w:r>
      <w:r>
        <w:rPr>
          <w:rFonts w:ascii="Arial" w:hAnsi="Arial" w:cs="Arial"/>
          <w:sz w:val="20"/>
          <w:szCs w:val="20"/>
        </w:rPr>
        <w:tab/>
      </w:r>
      <w:r w:rsidRPr="00B52563">
        <w:rPr>
          <w:rFonts w:ascii="Arial" w:hAnsi="Arial" w:cs="Arial"/>
          <w:sz w:val="20"/>
          <w:szCs w:val="20"/>
        </w:rPr>
        <w:t>Jedna injekční lahvička obsahuje 400 mg jódu/ml, tzn. Iomeprolum 81,65 mg ve 100 ml roztoku.</w:t>
      </w:r>
    </w:p>
    <w:p w14:paraId="30F46BF0" w14:textId="42B74051" w:rsidR="00B52563" w:rsidRDefault="00B52563" w:rsidP="00B167CC">
      <w:pPr>
        <w:rPr>
          <w:rFonts w:ascii="Arial" w:hAnsi="Arial" w:cs="Arial"/>
          <w:sz w:val="20"/>
          <w:szCs w:val="20"/>
        </w:rPr>
      </w:pPr>
      <w:r>
        <w:rPr>
          <w:rFonts w:ascii="Arial" w:hAnsi="Arial" w:cs="Arial"/>
          <w:sz w:val="20"/>
          <w:szCs w:val="20"/>
        </w:rPr>
        <w:t>9.</w:t>
      </w:r>
      <w:r>
        <w:rPr>
          <w:rFonts w:ascii="Arial" w:hAnsi="Arial" w:cs="Arial"/>
          <w:sz w:val="20"/>
          <w:szCs w:val="20"/>
        </w:rPr>
        <w:tab/>
      </w:r>
      <w:r w:rsidRPr="00B52563">
        <w:rPr>
          <w:rFonts w:ascii="Arial" w:hAnsi="Arial" w:cs="Arial"/>
          <w:sz w:val="20"/>
          <w:szCs w:val="20"/>
        </w:rPr>
        <w:t>Jedna injekční lahvička obsahuje 400 mg jódu/ml, tzn. Iomeprolum 81,65 mg ve 100 ml roztoku.</w:t>
      </w:r>
    </w:p>
    <w:p w14:paraId="0B2B3374" w14:textId="6DCEC3D7" w:rsidR="00B52563" w:rsidRDefault="00B52563" w:rsidP="00B167CC">
      <w:pPr>
        <w:rPr>
          <w:rFonts w:ascii="Arial" w:hAnsi="Arial" w:cs="Arial"/>
          <w:sz w:val="20"/>
          <w:szCs w:val="20"/>
        </w:rPr>
      </w:pPr>
      <w:r>
        <w:rPr>
          <w:rFonts w:ascii="Arial" w:hAnsi="Arial" w:cs="Arial"/>
          <w:sz w:val="20"/>
          <w:szCs w:val="20"/>
        </w:rPr>
        <w:t xml:space="preserve">10. </w:t>
      </w:r>
      <w:r>
        <w:rPr>
          <w:rFonts w:ascii="Arial" w:hAnsi="Arial" w:cs="Arial"/>
          <w:sz w:val="20"/>
          <w:szCs w:val="20"/>
        </w:rPr>
        <w:tab/>
      </w:r>
      <w:r w:rsidRPr="00B52563">
        <w:rPr>
          <w:rFonts w:ascii="Arial" w:hAnsi="Arial" w:cs="Arial"/>
          <w:sz w:val="20"/>
          <w:szCs w:val="20"/>
        </w:rPr>
        <w:t>Jedna injekční lahvička obsahuje 400 mg jódu/ml, tzn. Iomeprolum 81,65 mg ve 100 ml roztoku.</w:t>
      </w:r>
    </w:p>
    <w:p w14:paraId="303BF1F0" w14:textId="6E2A0C40" w:rsidR="00B52563" w:rsidRDefault="00B52563" w:rsidP="00B167CC">
      <w:pPr>
        <w:rPr>
          <w:rFonts w:ascii="Arial" w:hAnsi="Arial" w:cs="Arial"/>
          <w:sz w:val="20"/>
          <w:szCs w:val="20"/>
        </w:rPr>
      </w:pPr>
      <w:r>
        <w:rPr>
          <w:rFonts w:ascii="Arial" w:hAnsi="Arial" w:cs="Arial"/>
          <w:sz w:val="20"/>
          <w:szCs w:val="20"/>
        </w:rPr>
        <w:t>11.</w:t>
      </w:r>
      <w:r>
        <w:rPr>
          <w:rFonts w:ascii="Arial" w:hAnsi="Arial" w:cs="Arial"/>
          <w:sz w:val="20"/>
          <w:szCs w:val="20"/>
        </w:rPr>
        <w:tab/>
      </w:r>
      <w:r w:rsidRPr="00B52563">
        <w:rPr>
          <w:rFonts w:ascii="Arial" w:hAnsi="Arial" w:cs="Arial"/>
          <w:sz w:val="20"/>
          <w:szCs w:val="20"/>
        </w:rPr>
        <w:t>Jedna injekční lahvička obsahuje 400 mg jódu/ml, tzn. Iomeprolum 81,65 mg ve 100 ml roztoku.</w:t>
      </w:r>
    </w:p>
    <w:p w14:paraId="3846C81F" w14:textId="77777777" w:rsidR="00B52563" w:rsidRDefault="00B52563" w:rsidP="00B167CC">
      <w:pPr>
        <w:rPr>
          <w:rFonts w:ascii="Arial" w:hAnsi="Arial" w:cs="Arial"/>
          <w:sz w:val="20"/>
          <w:szCs w:val="20"/>
        </w:rPr>
      </w:pPr>
    </w:p>
    <w:p w14:paraId="5F3DBB38" w14:textId="4330EAA0" w:rsidR="00B167CC" w:rsidRPr="00B167CC" w:rsidRDefault="00B167CC" w:rsidP="00B167CC">
      <w:pPr>
        <w:rPr>
          <w:rFonts w:ascii="Arial" w:hAnsi="Arial" w:cs="Arial"/>
          <w:sz w:val="20"/>
          <w:szCs w:val="20"/>
        </w:rPr>
      </w:pPr>
      <w:r w:rsidRPr="00B167CC">
        <w:rPr>
          <w:rFonts w:ascii="Arial" w:hAnsi="Arial" w:cs="Arial"/>
          <w:sz w:val="20"/>
          <w:szCs w:val="20"/>
        </w:rPr>
        <w:tab/>
      </w:r>
      <w:r w:rsidRPr="00B167CC">
        <w:rPr>
          <w:rFonts w:ascii="Arial" w:hAnsi="Arial" w:cs="Arial"/>
          <w:sz w:val="20"/>
          <w:szCs w:val="20"/>
        </w:rPr>
        <w:tab/>
      </w:r>
    </w:p>
    <w:p w14:paraId="6BE68B1A" w14:textId="77777777" w:rsidR="002F6386" w:rsidRDefault="002F6386"/>
    <w:sectPr w:rsidR="002F6386" w:rsidSect="00B167CC">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EC0C4" w14:textId="77777777" w:rsidR="000B7A45" w:rsidRDefault="000B7A45">
      <w:r>
        <w:separator/>
      </w:r>
    </w:p>
  </w:endnote>
  <w:endnote w:type="continuationSeparator" w:id="0">
    <w:p w14:paraId="48A19377" w14:textId="77777777" w:rsidR="000B7A45" w:rsidRDefault="000B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AE37" w14:textId="77777777" w:rsidR="009060DB" w:rsidRDefault="009060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Účinnost od:</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r>
            <w:rPr>
              <w:rFonts w:ascii="Arial" w:hAnsi="Arial" w:cs="Arial"/>
              <w:sz w:val="16"/>
            </w:rPr>
            <w:t>1.9.2017</w:t>
          </w:r>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BCB1503"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9060DB">
            <w:rPr>
              <w:rStyle w:val="slostrnky"/>
              <w:rFonts w:ascii="Arial" w:hAnsi="Arial" w:cs="Arial"/>
              <w:noProof/>
              <w:sz w:val="16"/>
            </w:rPr>
            <w:t>1</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9060DB">
            <w:rPr>
              <w:rStyle w:val="slostrnky"/>
              <w:rFonts w:ascii="Arial" w:hAnsi="Arial" w:cs="Arial"/>
              <w:noProof/>
              <w:sz w:val="16"/>
            </w:rPr>
            <w:t>8</w:t>
          </w:r>
          <w:r>
            <w:rPr>
              <w:rStyle w:val="slostrnky"/>
              <w:rFonts w:ascii="Arial" w:hAnsi="Arial" w:cs="Arial"/>
              <w:sz w:val="16"/>
            </w:rPr>
            <w:fldChar w:fldCharType="end"/>
          </w:r>
        </w:p>
      </w:tc>
    </w:tr>
  </w:tbl>
  <w:p w14:paraId="6F677DFD" w14:textId="77777777" w:rsidR="00D71444" w:rsidRDefault="000B7A45"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606D6" w14:textId="77777777" w:rsidR="009060DB" w:rsidRDefault="009060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FF784" w14:textId="77777777" w:rsidR="000B7A45" w:rsidRDefault="000B7A45">
      <w:r>
        <w:separator/>
      </w:r>
    </w:p>
  </w:footnote>
  <w:footnote w:type="continuationSeparator" w:id="0">
    <w:p w14:paraId="43ED96CC" w14:textId="77777777" w:rsidR="000B7A45" w:rsidRDefault="000B7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625E" w14:textId="77777777" w:rsidR="009060DB" w:rsidRDefault="009060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F706" w14:textId="2661F5FF" w:rsidR="00B167CC" w:rsidRPr="00B167CC" w:rsidRDefault="00F24C68" w:rsidP="00B167CC">
    <w:pPr>
      <w:pStyle w:val="Zhlav"/>
      <w:tabs>
        <w:tab w:val="clear" w:pos="4536"/>
        <w:tab w:val="clear" w:pos="9072"/>
        <w:tab w:val="right" w:pos="9075"/>
      </w:tabs>
      <w:rPr>
        <w:rFonts w:ascii="Arial" w:hAnsi="Arial" w:cs="Arial"/>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272A6C">
      <w:rPr>
        <w:rFonts w:ascii="Arial" w:hAnsi="Arial" w:cs="Arial"/>
        <w:sz w:val="16"/>
        <w:szCs w:val="16"/>
      </w:rPr>
      <w:tab/>
      <w:t>Číslo smlouvy – DBID: 490</w:t>
    </w:r>
    <w:r w:rsidR="009060DB">
      <w:rPr>
        <w:rFonts w:ascii="Arial" w:hAnsi="Arial" w:cs="Arial"/>
        <w:sz w:val="16"/>
        <w:szCs w:val="16"/>
      </w:rPr>
      <w:t>2</w:t>
    </w:r>
    <w:bookmarkStart w:id="0" w:name="_GoBack"/>
    <w:bookmarkEnd w:id="0"/>
    <w:r w:rsidR="00B167CC">
      <w:rPr>
        <w:rFonts w:ascii="Arial" w:hAnsi="Arial" w:cs="Arial"/>
        <w:sz w:val="16"/>
        <w:szCs w:val="16"/>
      </w:rPr>
      <w:t>/2025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01269" w14:textId="77777777" w:rsidR="009060DB" w:rsidRDefault="009060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75658"/>
    <w:rsid w:val="00096C3A"/>
    <w:rsid w:val="000B24A7"/>
    <w:rsid w:val="000B4AC1"/>
    <w:rsid w:val="000B7A45"/>
    <w:rsid w:val="000D2444"/>
    <w:rsid w:val="0011622D"/>
    <w:rsid w:val="0013583F"/>
    <w:rsid w:val="00171E66"/>
    <w:rsid w:val="001A39FA"/>
    <w:rsid w:val="001D2D17"/>
    <w:rsid w:val="001E424C"/>
    <w:rsid w:val="001F725C"/>
    <w:rsid w:val="00222445"/>
    <w:rsid w:val="002702DF"/>
    <w:rsid w:val="00272A6C"/>
    <w:rsid w:val="0028092F"/>
    <w:rsid w:val="002943F3"/>
    <w:rsid w:val="00296173"/>
    <w:rsid w:val="002B0325"/>
    <w:rsid w:val="002C09C9"/>
    <w:rsid w:val="002D0D77"/>
    <w:rsid w:val="002F4EED"/>
    <w:rsid w:val="002F6386"/>
    <w:rsid w:val="00366AE4"/>
    <w:rsid w:val="003675A5"/>
    <w:rsid w:val="00396010"/>
    <w:rsid w:val="003A4716"/>
    <w:rsid w:val="003C3045"/>
    <w:rsid w:val="003C64A1"/>
    <w:rsid w:val="00400476"/>
    <w:rsid w:val="00400681"/>
    <w:rsid w:val="00402336"/>
    <w:rsid w:val="0046064A"/>
    <w:rsid w:val="00536064"/>
    <w:rsid w:val="00542A78"/>
    <w:rsid w:val="00567F31"/>
    <w:rsid w:val="005A12C6"/>
    <w:rsid w:val="005A13D4"/>
    <w:rsid w:val="005C008B"/>
    <w:rsid w:val="005E2E8F"/>
    <w:rsid w:val="005F2201"/>
    <w:rsid w:val="00665031"/>
    <w:rsid w:val="006E6113"/>
    <w:rsid w:val="006F2557"/>
    <w:rsid w:val="00706EAC"/>
    <w:rsid w:val="00764102"/>
    <w:rsid w:val="007C2F72"/>
    <w:rsid w:val="007F427E"/>
    <w:rsid w:val="007F7F7D"/>
    <w:rsid w:val="00812BF9"/>
    <w:rsid w:val="00840053"/>
    <w:rsid w:val="00891E86"/>
    <w:rsid w:val="0089535A"/>
    <w:rsid w:val="008A2F0C"/>
    <w:rsid w:val="008B688F"/>
    <w:rsid w:val="008D1DD3"/>
    <w:rsid w:val="008D5E5A"/>
    <w:rsid w:val="008E7921"/>
    <w:rsid w:val="009060DB"/>
    <w:rsid w:val="009103B5"/>
    <w:rsid w:val="00961928"/>
    <w:rsid w:val="009B733D"/>
    <w:rsid w:val="009C5F46"/>
    <w:rsid w:val="009C68FE"/>
    <w:rsid w:val="009D5055"/>
    <w:rsid w:val="00A55F39"/>
    <w:rsid w:val="00A72D23"/>
    <w:rsid w:val="00A748ED"/>
    <w:rsid w:val="00A83428"/>
    <w:rsid w:val="00AA192D"/>
    <w:rsid w:val="00AA1EAB"/>
    <w:rsid w:val="00AB0840"/>
    <w:rsid w:val="00AF3599"/>
    <w:rsid w:val="00B167CC"/>
    <w:rsid w:val="00B35DE4"/>
    <w:rsid w:val="00B52563"/>
    <w:rsid w:val="00B8783B"/>
    <w:rsid w:val="00BE0D8F"/>
    <w:rsid w:val="00C67595"/>
    <w:rsid w:val="00C848CD"/>
    <w:rsid w:val="00CE5657"/>
    <w:rsid w:val="00D72205"/>
    <w:rsid w:val="00DA1C1F"/>
    <w:rsid w:val="00DB4EE6"/>
    <w:rsid w:val="00DD11B4"/>
    <w:rsid w:val="00DD5422"/>
    <w:rsid w:val="00DE3A5A"/>
    <w:rsid w:val="00E06F46"/>
    <w:rsid w:val="00E310CE"/>
    <w:rsid w:val="00EB080E"/>
    <w:rsid w:val="00F24C68"/>
    <w:rsid w:val="00F2700B"/>
    <w:rsid w:val="00F51FD1"/>
    <w:rsid w:val="00F63FAF"/>
    <w:rsid w:val="00F84BB7"/>
    <w:rsid w:val="00F92039"/>
    <w:rsid w:val="00F92CCA"/>
    <w:rsid w:val="00F965EC"/>
    <w:rsid w:val="00FA2FDA"/>
    <w:rsid w:val="00FE29E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167CC"/>
    <w:pPr>
      <w:tabs>
        <w:tab w:val="center" w:pos="4536"/>
        <w:tab w:val="right" w:pos="9072"/>
      </w:tabs>
    </w:pPr>
  </w:style>
  <w:style w:type="character" w:customStyle="1" w:styleId="ZpatChar">
    <w:name w:val="Zápatí Char"/>
    <w:basedOn w:val="Standardnpsmoodstavce"/>
    <w:link w:val="Zpat"/>
    <w:uiPriority w:val="99"/>
    <w:rsid w:val="00B167C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C3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3604">
      <w:bodyDiv w:val="1"/>
      <w:marLeft w:val="0"/>
      <w:marRight w:val="0"/>
      <w:marTop w:val="0"/>
      <w:marBottom w:val="0"/>
      <w:divBdr>
        <w:top w:val="none" w:sz="0" w:space="0" w:color="auto"/>
        <w:left w:val="none" w:sz="0" w:space="0" w:color="auto"/>
        <w:bottom w:val="none" w:sz="0" w:space="0" w:color="auto"/>
        <w:right w:val="none" w:sz="0" w:space="0" w:color="auto"/>
      </w:divBdr>
    </w:div>
    <w:div w:id="199831127">
      <w:bodyDiv w:val="1"/>
      <w:marLeft w:val="0"/>
      <w:marRight w:val="0"/>
      <w:marTop w:val="0"/>
      <w:marBottom w:val="0"/>
      <w:divBdr>
        <w:top w:val="none" w:sz="0" w:space="0" w:color="auto"/>
        <w:left w:val="none" w:sz="0" w:space="0" w:color="auto"/>
        <w:bottom w:val="none" w:sz="0" w:space="0" w:color="auto"/>
        <w:right w:val="none" w:sz="0" w:space="0" w:color="auto"/>
      </w:divBdr>
    </w:div>
    <w:div w:id="214901339">
      <w:bodyDiv w:val="1"/>
      <w:marLeft w:val="0"/>
      <w:marRight w:val="0"/>
      <w:marTop w:val="0"/>
      <w:marBottom w:val="0"/>
      <w:divBdr>
        <w:top w:val="none" w:sz="0" w:space="0" w:color="auto"/>
        <w:left w:val="none" w:sz="0" w:space="0" w:color="auto"/>
        <w:bottom w:val="none" w:sz="0" w:space="0" w:color="auto"/>
        <w:right w:val="none" w:sz="0" w:space="0" w:color="auto"/>
      </w:divBdr>
    </w:div>
    <w:div w:id="222062368">
      <w:bodyDiv w:val="1"/>
      <w:marLeft w:val="0"/>
      <w:marRight w:val="0"/>
      <w:marTop w:val="0"/>
      <w:marBottom w:val="0"/>
      <w:divBdr>
        <w:top w:val="none" w:sz="0" w:space="0" w:color="auto"/>
        <w:left w:val="none" w:sz="0" w:space="0" w:color="auto"/>
        <w:bottom w:val="none" w:sz="0" w:space="0" w:color="auto"/>
        <w:right w:val="none" w:sz="0" w:space="0" w:color="auto"/>
      </w:divBdr>
    </w:div>
    <w:div w:id="231234571">
      <w:bodyDiv w:val="1"/>
      <w:marLeft w:val="0"/>
      <w:marRight w:val="0"/>
      <w:marTop w:val="0"/>
      <w:marBottom w:val="0"/>
      <w:divBdr>
        <w:top w:val="none" w:sz="0" w:space="0" w:color="auto"/>
        <w:left w:val="none" w:sz="0" w:space="0" w:color="auto"/>
        <w:bottom w:val="none" w:sz="0" w:space="0" w:color="auto"/>
        <w:right w:val="none" w:sz="0" w:space="0" w:color="auto"/>
      </w:divBdr>
    </w:div>
    <w:div w:id="699555447">
      <w:bodyDiv w:val="1"/>
      <w:marLeft w:val="0"/>
      <w:marRight w:val="0"/>
      <w:marTop w:val="0"/>
      <w:marBottom w:val="0"/>
      <w:divBdr>
        <w:top w:val="none" w:sz="0" w:space="0" w:color="auto"/>
        <w:left w:val="none" w:sz="0" w:space="0" w:color="auto"/>
        <w:bottom w:val="none" w:sz="0" w:space="0" w:color="auto"/>
        <w:right w:val="none" w:sz="0" w:space="0" w:color="auto"/>
      </w:divBdr>
    </w:div>
    <w:div w:id="1054935476">
      <w:bodyDiv w:val="1"/>
      <w:marLeft w:val="0"/>
      <w:marRight w:val="0"/>
      <w:marTop w:val="0"/>
      <w:marBottom w:val="0"/>
      <w:divBdr>
        <w:top w:val="none" w:sz="0" w:space="0" w:color="auto"/>
        <w:left w:val="none" w:sz="0" w:space="0" w:color="auto"/>
        <w:bottom w:val="none" w:sz="0" w:space="0" w:color="auto"/>
        <w:right w:val="none" w:sz="0" w:space="0" w:color="auto"/>
      </w:divBdr>
    </w:div>
    <w:div w:id="1069570735">
      <w:bodyDiv w:val="1"/>
      <w:marLeft w:val="0"/>
      <w:marRight w:val="0"/>
      <w:marTop w:val="0"/>
      <w:marBottom w:val="0"/>
      <w:divBdr>
        <w:top w:val="none" w:sz="0" w:space="0" w:color="auto"/>
        <w:left w:val="none" w:sz="0" w:space="0" w:color="auto"/>
        <w:bottom w:val="none" w:sz="0" w:space="0" w:color="auto"/>
        <w:right w:val="none" w:sz="0" w:space="0" w:color="auto"/>
      </w:divBdr>
    </w:div>
    <w:div w:id="1157765365">
      <w:bodyDiv w:val="1"/>
      <w:marLeft w:val="0"/>
      <w:marRight w:val="0"/>
      <w:marTop w:val="0"/>
      <w:marBottom w:val="0"/>
      <w:divBdr>
        <w:top w:val="none" w:sz="0" w:space="0" w:color="auto"/>
        <w:left w:val="none" w:sz="0" w:space="0" w:color="auto"/>
        <w:bottom w:val="none" w:sz="0" w:space="0" w:color="auto"/>
        <w:right w:val="none" w:sz="0" w:space="0" w:color="auto"/>
      </w:divBdr>
    </w:div>
    <w:div w:id="1491480476">
      <w:bodyDiv w:val="1"/>
      <w:marLeft w:val="0"/>
      <w:marRight w:val="0"/>
      <w:marTop w:val="0"/>
      <w:marBottom w:val="0"/>
      <w:divBdr>
        <w:top w:val="none" w:sz="0" w:space="0" w:color="auto"/>
        <w:left w:val="none" w:sz="0" w:space="0" w:color="auto"/>
        <w:bottom w:val="none" w:sz="0" w:space="0" w:color="auto"/>
        <w:right w:val="none" w:sz="0" w:space="0" w:color="auto"/>
      </w:divBdr>
    </w:div>
    <w:div w:id="1679695098">
      <w:bodyDiv w:val="1"/>
      <w:marLeft w:val="0"/>
      <w:marRight w:val="0"/>
      <w:marTop w:val="0"/>
      <w:marBottom w:val="0"/>
      <w:divBdr>
        <w:top w:val="none" w:sz="0" w:space="0" w:color="auto"/>
        <w:left w:val="none" w:sz="0" w:space="0" w:color="auto"/>
        <w:bottom w:val="none" w:sz="0" w:space="0" w:color="auto"/>
        <w:right w:val="none" w:sz="0" w:space="0" w:color="auto"/>
      </w:divBdr>
    </w:div>
    <w:div w:id="1702973792">
      <w:bodyDiv w:val="1"/>
      <w:marLeft w:val="0"/>
      <w:marRight w:val="0"/>
      <w:marTop w:val="0"/>
      <w:marBottom w:val="0"/>
      <w:divBdr>
        <w:top w:val="none" w:sz="0" w:space="0" w:color="auto"/>
        <w:left w:val="none" w:sz="0" w:space="0" w:color="auto"/>
        <w:bottom w:val="none" w:sz="0" w:space="0" w:color="auto"/>
        <w:right w:val="none" w:sz="0" w:space="0" w:color="auto"/>
      </w:divBdr>
    </w:div>
    <w:div w:id="1816605618">
      <w:bodyDiv w:val="1"/>
      <w:marLeft w:val="0"/>
      <w:marRight w:val="0"/>
      <w:marTop w:val="0"/>
      <w:marBottom w:val="0"/>
      <w:divBdr>
        <w:top w:val="none" w:sz="0" w:space="0" w:color="auto"/>
        <w:left w:val="none" w:sz="0" w:space="0" w:color="auto"/>
        <w:bottom w:val="none" w:sz="0" w:space="0" w:color="auto"/>
        <w:right w:val="none" w:sz="0" w:space="0" w:color="auto"/>
      </w:divBdr>
    </w:div>
    <w:div w:id="1865050797">
      <w:bodyDiv w:val="1"/>
      <w:marLeft w:val="0"/>
      <w:marRight w:val="0"/>
      <w:marTop w:val="0"/>
      <w:marBottom w:val="0"/>
      <w:divBdr>
        <w:top w:val="none" w:sz="0" w:space="0" w:color="auto"/>
        <w:left w:val="none" w:sz="0" w:space="0" w:color="auto"/>
        <w:bottom w:val="none" w:sz="0" w:space="0" w:color="auto"/>
        <w:right w:val="none" w:sz="0" w:space="0" w:color="auto"/>
      </w:divBdr>
    </w:div>
    <w:div w:id="2065592353">
      <w:bodyDiv w:val="1"/>
      <w:marLeft w:val="0"/>
      <w:marRight w:val="0"/>
      <w:marTop w:val="0"/>
      <w:marBottom w:val="0"/>
      <w:divBdr>
        <w:top w:val="none" w:sz="0" w:space="0" w:color="auto"/>
        <w:left w:val="none" w:sz="0" w:space="0" w:color="auto"/>
        <w:bottom w:val="none" w:sz="0" w:space="0" w:color="auto"/>
        <w:right w:val="none" w:sz="0" w:space="0" w:color="auto"/>
      </w:divBdr>
    </w:div>
    <w:div w:id="2118058344">
      <w:bodyDiv w:val="1"/>
      <w:marLeft w:val="0"/>
      <w:marRight w:val="0"/>
      <w:marTop w:val="0"/>
      <w:marBottom w:val="0"/>
      <w:divBdr>
        <w:top w:val="none" w:sz="0" w:space="0" w:color="auto"/>
        <w:left w:val="none" w:sz="0" w:space="0" w:color="auto"/>
        <w:bottom w:val="none" w:sz="0" w:space="0" w:color="auto"/>
        <w:right w:val="none" w:sz="0" w:space="0" w:color="auto"/>
      </w:divBdr>
    </w:div>
    <w:div w:id="21410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zleciva@kzcr.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3698</Words>
  <Characters>21822</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11</cp:revision>
  <dcterms:created xsi:type="dcterms:W3CDTF">2025-11-20T14:16:00Z</dcterms:created>
  <dcterms:modified xsi:type="dcterms:W3CDTF">2025-12-29T13:58:00Z</dcterms:modified>
</cp:coreProperties>
</file>