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0507955"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CF62E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D90393" w:rsidRPr="00D90393">
        <w:rPr>
          <w:rFonts w:ascii="Arial" w:hAnsi="Arial" w:cs="Arial"/>
          <w:b/>
          <w:i/>
          <w:sz w:val="20"/>
          <w:szCs w:val="20"/>
        </w:rPr>
        <w:t>PEGINTERFERON BETA-1A</w:t>
      </w:r>
      <w:r w:rsidR="00D90393">
        <w:rPr>
          <w:rFonts w:ascii="Arial" w:hAnsi="Arial" w:cs="Arial"/>
          <w:b/>
          <w:i/>
          <w:sz w:val="20"/>
          <w:szCs w:val="20"/>
        </w:rPr>
        <w:t xml:space="preserve"> </w:t>
      </w:r>
      <w:r w:rsidR="00BF670B">
        <w:rPr>
          <w:rFonts w:ascii="Arial" w:hAnsi="Arial" w:cs="Arial"/>
          <w:b/>
          <w:i/>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97F3F8C"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D90393" w:rsidRPr="00D90393">
        <w:rPr>
          <w:rFonts w:ascii="Arial" w:hAnsi="Arial" w:cs="Arial"/>
          <w:iCs/>
          <w:sz w:val="20"/>
          <w:szCs w:val="20"/>
        </w:rPr>
        <w:t>PEGINTERFERON BETA-1A</w:t>
      </w:r>
      <w:r w:rsidR="00D90393">
        <w:rPr>
          <w:rFonts w:ascii="Arial" w:hAnsi="Arial" w:cs="Arial"/>
          <w:iCs/>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833E5E2" w:rsidR="00171E66" w:rsidRPr="006E1FEC" w:rsidRDefault="00171E66" w:rsidP="00D90393">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90393" w:rsidRPr="00D90393">
        <w:rPr>
          <w:rFonts w:ascii="Arial" w:hAnsi="Arial" w:cs="Arial"/>
          <w:iCs/>
          <w:snapToGrid/>
          <w:color w:val="auto"/>
          <w:sz w:val="20"/>
        </w:rPr>
        <w:t xml:space="preserve">PEGINTERFERON </w:t>
      </w:r>
      <w:r w:rsidR="00D90393">
        <w:rPr>
          <w:rFonts w:ascii="Arial" w:hAnsi="Arial" w:cs="Arial"/>
          <w:iCs/>
          <w:snapToGrid/>
          <w:color w:val="auto"/>
          <w:sz w:val="20"/>
        </w:rPr>
        <w:br/>
      </w:r>
      <w:r w:rsidR="00D90393" w:rsidRPr="00D90393">
        <w:rPr>
          <w:rFonts w:ascii="Arial" w:hAnsi="Arial" w:cs="Arial"/>
          <w:iCs/>
          <w:snapToGrid/>
          <w:color w:val="auto"/>
          <w:sz w:val="20"/>
        </w:rPr>
        <w:t xml:space="preserve">BETA-1A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3839D047" w:rsidR="00171E66" w:rsidRDefault="00171E66" w:rsidP="00171E66">
      <w:pPr>
        <w:jc w:val="both"/>
        <w:rPr>
          <w:rFonts w:ascii="Arial" w:hAnsi="Arial" w:cs="Arial"/>
          <w:color w:val="00000A"/>
          <w:sz w:val="20"/>
        </w:rPr>
      </w:pPr>
    </w:p>
    <w:p w14:paraId="1CF80B50" w14:textId="72D6B588" w:rsidR="00CF62E5" w:rsidRDefault="00CF62E5" w:rsidP="00171E66">
      <w:pPr>
        <w:jc w:val="both"/>
        <w:rPr>
          <w:rFonts w:ascii="Arial" w:hAnsi="Arial" w:cs="Arial"/>
          <w:color w:val="00000A"/>
          <w:sz w:val="20"/>
        </w:rPr>
      </w:pPr>
    </w:p>
    <w:p w14:paraId="31FF0876" w14:textId="1FF459A1" w:rsidR="00CF62E5" w:rsidRDefault="00CF62E5" w:rsidP="00171E66">
      <w:pPr>
        <w:jc w:val="both"/>
        <w:rPr>
          <w:rFonts w:ascii="Arial" w:hAnsi="Arial" w:cs="Arial"/>
          <w:color w:val="00000A"/>
          <w:sz w:val="20"/>
        </w:rPr>
      </w:pPr>
    </w:p>
    <w:p w14:paraId="7C1F4941" w14:textId="574A45A9" w:rsidR="00CF62E5" w:rsidRDefault="00CF62E5" w:rsidP="00171E66">
      <w:pPr>
        <w:jc w:val="both"/>
        <w:rPr>
          <w:rFonts w:ascii="Arial" w:hAnsi="Arial" w:cs="Arial"/>
          <w:color w:val="00000A"/>
          <w:sz w:val="20"/>
        </w:rPr>
      </w:pPr>
    </w:p>
    <w:p w14:paraId="575F58C2" w14:textId="7FDCE7AF" w:rsidR="00CF62E5" w:rsidRDefault="00CF62E5" w:rsidP="00171E66">
      <w:pPr>
        <w:jc w:val="both"/>
        <w:rPr>
          <w:rFonts w:ascii="Arial" w:hAnsi="Arial" w:cs="Arial"/>
          <w:color w:val="00000A"/>
          <w:sz w:val="20"/>
        </w:rPr>
      </w:pPr>
    </w:p>
    <w:p w14:paraId="58B12347" w14:textId="77777777" w:rsidR="00CF62E5" w:rsidRPr="003673A0" w:rsidRDefault="00CF62E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791B3DC8" w:rsidR="00266148" w:rsidRDefault="00266148" w:rsidP="00CF62E5">
      <w:pPr>
        <w:spacing w:after="160" w:line="259" w:lineRule="auto"/>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442" w:type="pct"/>
        <w:tblInd w:w="-284" w:type="dxa"/>
        <w:tblCellMar>
          <w:left w:w="70" w:type="dxa"/>
          <w:right w:w="70" w:type="dxa"/>
        </w:tblCellMar>
        <w:tblLook w:val="04A0" w:firstRow="1" w:lastRow="0" w:firstColumn="1" w:lastColumn="0" w:noHBand="0" w:noVBand="1"/>
      </w:tblPr>
      <w:tblGrid>
        <w:gridCol w:w="798"/>
        <w:gridCol w:w="2325"/>
        <w:gridCol w:w="1270"/>
        <w:gridCol w:w="1138"/>
        <w:gridCol w:w="1179"/>
        <w:gridCol w:w="535"/>
        <w:gridCol w:w="387"/>
        <w:gridCol w:w="982"/>
        <w:gridCol w:w="511"/>
        <w:gridCol w:w="1226"/>
        <w:gridCol w:w="298"/>
        <w:gridCol w:w="1974"/>
        <w:gridCol w:w="678"/>
        <w:gridCol w:w="355"/>
        <w:gridCol w:w="811"/>
        <w:gridCol w:w="196"/>
        <w:gridCol w:w="596"/>
        <w:gridCol w:w="437"/>
        <w:gridCol w:w="146"/>
      </w:tblGrid>
      <w:tr w:rsidR="00266148" w:rsidRPr="00266148" w14:paraId="7DE2A925" w14:textId="77777777" w:rsidTr="00D90393">
        <w:trPr>
          <w:trHeight w:val="315"/>
        </w:trPr>
        <w:tc>
          <w:tcPr>
            <w:tcW w:w="2118"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291"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71"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81"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837"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68"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250"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38" w:type="pct"/>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6"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D90393">
        <w:trPr>
          <w:trHeight w:val="315"/>
        </w:trPr>
        <w:tc>
          <w:tcPr>
            <w:tcW w:w="25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34"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01"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31"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291"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71"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81"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837"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68"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250"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38" w:type="pct"/>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6"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D90393">
        <w:trPr>
          <w:trHeight w:val="315"/>
        </w:trPr>
        <w:tc>
          <w:tcPr>
            <w:tcW w:w="25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34"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01"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31"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291"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71"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81"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837"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68"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250"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38" w:type="pct"/>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6"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D90393">
        <w:trPr>
          <w:gridAfter w:val="1"/>
          <w:wAfter w:w="46" w:type="pct"/>
          <w:trHeight w:val="458"/>
        </w:trPr>
        <w:tc>
          <w:tcPr>
            <w:tcW w:w="25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B4D2778" w:rsidR="00266148" w:rsidRPr="00266148" w:rsidRDefault="00266148" w:rsidP="00736BF9">
            <w:pPr>
              <w:jc w:val="center"/>
              <w:rPr>
                <w:rFonts w:ascii="Calibri" w:hAnsi="Calibri" w:cs="Calibri"/>
                <w:b/>
                <w:bCs/>
                <w:color w:val="000000"/>
                <w:sz w:val="20"/>
                <w:szCs w:val="20"/>
              </w:rPr>
            </w:pPr>
          </w:p>
        </w:tc>
        <w:tc>
          <w:tcPr>
            <w:tcW w:w="73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0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5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541"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32"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48"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71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26"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18"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326"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D90393">
        <w:trPr>
          <w:gridAfter w:val="1"/>
          <w:wAfter w:w="46" w:type="pct"/>
          <w:trHeight w:val="458"/>
        </w:trPr>
        <w:tc>
          <w:tcPr>
            <w:tcW w:w="25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34"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01"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59"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541"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32"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48"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717"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18"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D90393" w:rsidRPr="00266148" w14:paraId="054FBC1C" w14:textId="77777777" w:rsidTr="00D90393">
        <w:trPr>
          <w:gridAfter w:val="1"/>
          <w:wAfter w:w="46" w:type="pct"/>
          <w:trHeight w:val="458"/>
        </w:trPr>
        <w:tc>
          <w:tcPr>
            <w:tcW w:w="252" w:type="pct"/>
            <w:tcBorders>
              <w:top w:val="nil"/>
              <w:left w:val="single" w:sz="8" w:space="0" w:color="auto"/>
              <w:bottom w:val="single" w:sz="8" w:space="0" w:color="000000"/>
              <w:right w:val="single" w:sz="4" w:space="0" w:color="auto"/>
            </w:tcBorders>
            <w:shd w:val="clear" w:color="auto" w:fill="auto"/>
            <w:noWrap/>
            <w:vAlign w:val="center"/>
          </w:tcPr>
          <w:p w14:paraId="64E9E4DD" w14:textId="1292EC41" w:rsidR="00D90393" w:rsidRDefault="00D90393" w:rsidP="00D90393">
            <w:pPr>
              <w:jc w:val="center"/>
              <w:rPr>
                <w:rFonts w:ascii="Calibri" w:hAnsi="Calibri" w:cs="Calibri"/>
                <w:b/>
                <w:bCs/>
                <w:color w:val="000000"/>
                <w:sz w:val="22"/>
                <w:szCs w:val="22"/>
              </w:rPr>
            </w:pPr>
            <w:r w:rsidRPr="00BF670B">
              <w:rPr>
                <w:rFonts w:ascii="Calibri" w:hAnsi="Calibri" w:cs="Calibri"/>
                <w:b/>
                <w:bCs/>
                <w:color w:val="000000"/>
                <w:sz w:val="22"/>
                <w:szCs w:val="22"/>
              </w:rPr>
              <w:t>1.</w:t>
            </w:r>
          </w:p>
        </w:tc>
        <w:tc>
          <w:tcPr>
            <w:tcW w:w="734" w:type="pct"/>
            <w:tcBorders>
              <w:top w:val="nil"/>
              <w:left w:val="single" w:sz="4" w:space="0" w:color="auto"/>
              <w:bottom w:val="single" w:sz="8" w:space="0" w:color="000000"/>
              <w:right w:val="single" w:sz="4" w:space="0" w:color="auto"/>
            </w:tcBorders>
            <w:shd w:val="clear" w:color="auto" w:fill="auto"/>
            <w:vAlign w:val="center"/>
          </w:tcPr>
          <w:p w14:paraId="7BFDE6F2" w14:textId="1D8BB3FE" w:rsidR="00D90393" w:rsidRDefault="00D90393" w:rsidP="00D90393">
            <w:pPr>
              <w:jc w:val="center"/>
              <w:rPr>
                <w:rFonts w:ascii="Calibri" w:hAnsi="Calibri" w:cs="Calibri"/>
                <w:b/>
                <w:bCs/>
                <w:color w:val="000000"/>
                <w:sz w:val="22"/>
                <w:szCs w:val="22"/>
              </w:rPr>
            </w:pPr>
            <w:proofErr w:type="spellStart"/>
            <w:r>
              <w:rPr>
                <w:rFonts w:ascii="Calibri" w:hAnsi="Calibri" w:cs="Calibri"/>
                <w:b/>
                <w:bCs/>
                <w:color w:val="000000"/>
                <w:sz w:val="22"/>
                <w:szCs w:val="22"/>
              </w:rPr>
              <w:t>Peginterferon</w:t>
            </w:r>
            <w:proofErr w:type="spellEnd"/>
            <w:r>
              <w:rPr>
                <w:rFonts w:ascii="Calibri" w:hAnsi="Calibri" w:cs="Calibri"/>
                <w:b/>
                <w:bCs/>
                <w:color w:val="000000"/>
                <w:sz w:val="22"/>
                <w:szCs w:val="22"/>
              </w:rPr>
              <w:t xml:space="preserve"> beta-1a 63mcg+94mcg</w:t>
            </w:r>
          </w:p>
        </w:tc>
        <w:tc>
          <w:tcPr>
            <w:tcW w:w="401" w:type="pct"/>
            <w:tcBorders>
              <w:top w:val="nil"/>
              <w:left w:val="single" w:sz="4" w:space="0" w:color="auto"/>
              <w:bottom w:val="single" w:sz="8" w:space="0" w:color="000000"/>
              <w:right w:val="single" w:sz="4" w:space="0" w:color="auto"/>
            </w:tcBorders>
            <w:shd w:val="clear" w:color="auto" w:fill="auto"/>
            <w:noWrap/>
            <w:vAlign w:val="center"/>
          </w:tcPr>
          <w:p w14:paraId="5691CAFF" w14:textId="6B87D535" w:rsidR="00D90393" w:rsidRDefault="00D90393" w:rsidP="00D90393">
            <w:pPr>
              <w:jc w:val="center"/>
              <w:rPr>
                <w:rFonts w:ascii="Calibri" w:hAnsi="Calibri" w:cs="Calibri"/>
                <w:color w:val="000000"/>
                <w:sz w:val="22"/>
                <w:szCs w:val="22"/>
              </w:rPr>
            </w:pPr>
            <w:r>
              <w:rPr>
                <w:rFonts w:ascii="Calibri" w:hAnsi="Calibri" w:cs="Calibri"/>
                <w:color w:val="000000"/>
                <w:sz w:val="22"/>
                <w:szCs w:val="22"/>
              </w:rPr>
              <w:t>L03AB13</w:t>
            </w:r>
          </w:p>
        </w:tc>
        <w:tc>
          <w:tcPr>
            <w:tcW w:w="359"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22586DB" w14:textId="77777777" w:rsidR="00D90393" w:rsidRPr="00266148" w:rsidRDefault="00D90393" w:rsidP="00D90393">
            <w:pPr>
              <w:jc w:val="center"/>
              <w:rPr>
                <w:rFonts w:ascii="Calibri" w:hAnsi="Calibri" w:cs="Calibri"/>
                <w:b/>
                <w:bCs/>
                <w:color w:val="000000"/>
                <w:sz w:val="20"/>
                <w:szCs w:val="20"/>
              </w:rPr>
            </w:pPr>
          </w:p>
        </w:tc>
        <w:tc>
          <w:tcPr>
            <w:tcW w:w="54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4B360D0" w14:textId="77777777" w:rsidR="00D90393" w:rsidRPr="00266148" w:rsidRDefault="00D90393" w:rsidP="00D90393">
            <w:pPr>
              <w:jc w:val="center"/>
              <w:rPr>
                <w:rFonts w:ascii="Calibri" w:hAnsi="Calibri" w:cs="Calibri"/>
                <w:b/>
                <w:bCs/>
                <w:color w:val="000000"/>
                <w:sz w:val="20"/>
                <w:szCs w:val="20"/>
              </w:rPr>
            </w:pPr>
          </w:p>
        </w:tc>
        <w:tc>
          <w:tcPr>
            <w:tcW w:w="432"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09602EC" w14:textId="77777777" w:rsidR="00D90393" w:rsidRPr="00266148" w:rsidRDefault="00D90393" w:rsidP="00D90393">
            <w:pPr>
              <w:jc w:val="center"/>
              <w:rPr>
                <w:rFonts w:ascii="Calibri" w:hAnsi="Calibri" w:cs="Calibri"/>
                <w:b/>
                <w:bCs/>
                <w:color w:val="000000"/>
                <w:sz w:val="20"/>
                <w:szCs w:val="20"/>
              </w:rPr>
            </w:pPr>
          </w:p>
        </w:tc>
        <w:tc>
          <w:tcPr>
            <w:tcW w:w="548" w:type="pct"/>
            <w:gridSpan w:val="2"/>
            <w:tcBorders>
              <w:top w:val="nil"/>
              <w:left w:val="single" w:sz="4" w:space="0" w:color="auto"/>
              <w:bottom w:val="single" w:sz="8" w:space="0" w:color="000000"/>
              <w:right w:val="single" w:sz="4" w:space="0" w:color="auto"/>
            </w:tcBorders>
            <w:shd w:val="clear" w:color="auto" w:fill="auto"/>
            <w:vAlign w:val="center"/>
          </w:tcPr>
          <w:p w14:paraId="25FAFF23" w14:textId="702C52EB" w:rsidR="00D90393" w:rsidRDefault="00D90393" w:rsidP="00D90393">
            <w:pPr>
              <w:jc w:val="center"/>
              <w:rPr>
                <w:rFonts w:ascii="Calibri" w:hAnsi="Calibri" w:cs="Calibri"/>
                <w:b/>
                <w:bCs/>
                <w:color w:val="000000"/>
                <w:sz w:val="22"/>
                <w:szCs w:val="22"/>
              </w:rPr>
            </w:pPr>
            <w:r>
              <w:rPr>
                <w:rFonts w:ascii="Calibri" w:hAnsi="Calibri" w:cs="Calibri"/>
                <w:b/>
                <w:bCs/>
                <w:color w:val="000000"/>
                <w:sz w:val="22"/>
                <w:szCs w:val="22"/>
              </w:rPr>
              <w:t>INJ SOL PEP</w:t>
            </w:r>
          </w:p>
        </w:tc>
        <w:tc>
          <w:tcPr>
            <w:tcW w:w="717" w:type="pct"/>
            <w:gridSpan w:val="2"/>
            <w:tcBorders>
              <w:top w:val="nil"/>
              <w:left w:val="nil"/>
              <w:bottom w:val="single" w:sz="8" w:space="0" w:color="000000"/>
              <w:right w:val="single" w:sz="4" w:space="0" w:color="auto"/>
            </w:tcBorders>
            <w:shd w:val="clear" w:color="auto" w:fill="auto"/>
            <w:noWrap/>
            <w:vAlign w:val="center"/>
          </w:tcPr>
          <w:p w14:paraId="291AAEAB" w14:textId="1AB7724A" w:rsidR="00D90393" w:rsidRDefault="00D90393" w:rsidP="00D90393">
            <w:pPr>
              <w:jc w:val="center"/>
              <w:rPr>
                <w:rFonts w:ascii="Calibri" w:hAnsi="Calibri" w:cs="Calibri"/>
                <w:b/>
                <w:bCs/>
                <w:color w:val="000000"/>
                <w:sz w:val="22"/>
                <w:szCs w:val="22"/>
              </w:rPr>
            </w:pPr>
            <w:r>
              <w:rPr>
                <w:rFonts w:ascii="Calibri" w:hAnsi="Calibri" w:cs="Calibri"/>
                <w:b/>
                <w:bCs/>
                <w:color w:val="000000"/>
                <w:sz w:val="22"/>
                <w:szCs w:val="22"/>
              </w:rPr>
              <w:t xml:space="preserve">1 x 63 </w:t>
            </w:r>
            <w:proofErr w:type="spellStart"/>
            <w:r>
              <w:rPr>
                <w:rFonts w:ascii="Calibri" w:hAnsi="Calibri" w:cs="Calibri"/>
                <w:b/>
                <w:bCs/>
                <w:color w:val="000000"/>
                <w:sz w:val="22"/>
                <w:szCs w:val="22"/>
              </w:rPr>
              <w:t>mcg</w:t>
            </w:r>
            <w:proofErr w:type="spellEnd"/>
            <w:r>
              <w:rPr>
                <w:rFonts w:ascii="Calibri" w:hAnsi="Calibri" w:cs="Calibri"/>
                <w:b/>
                <w:bCs/>
                <w:color w:val="000000"/>
                <w:sz w:val="22"/>
                <w:szCs w:val="22"/>
              </w:rPr>
              <w:t xml:space="preserve"> + 1 x 94 </w:t>
            </w:r>
            <w:proofErr w:type="spellStart"/>
            <w:r>
              <w:rPr>
                <w:rFonts w:ascii="Calibri" w:hAnsi="Calibri" w:cs="Calibri"/>
                <w:b/>
                <w:bCs/>
                <w:color w:val="000000"/>
                <w:sz w:val="22"/>
                <w:szCs w:val="22"/>
              </w:rPr>
              <w:t>mcg</w:t>
            </w:r>
            <w:proofErr w:type="spellEnd"/>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FAB9E80" w14:textId="77777777" w:rsidR="00D90393" w:rsidRPr="00266148" w:rsidRDefault="00D90393" w:rsidP="00D90393">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5EC802B" w14:textId="77777777" w:rsidR="00D90393" w:rsidRPr="00266148" w:rsidRDefault="00D90393" w:rsidP="00D90393">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0CFDF293" w14:textId="77777777" w:rsidR="00D90393" w:rsidRPr="00266148" w:rsidRDefault="00D90393" w:rsidP="00D90393">
            <w:pPr>
              <w:jc w:val="center"/>
              <w:rPr>
                <w:rFonts w:ascii="Calibri" w:hAnsi="Calibri" w:cs="Calibri"/>
                <w:b/>
                <w:bCs/>
                <w:color w:val="000000"/>
                <w:sz w:val="20"/>
                <w:szCs w:val="20"/>
              </w:rPr>
            </w:pPr>
          </w:p>
        </w:tc>
      </w:tr>
      <w:tr w:rsidR="00D90393" w:rsidRPr="00266148" w14:paraId="17B503F5" w14:textId="77777777" w:rsidTr="00D90393">
        <w:trPr>
          <w:gridAfter w:val="1"/>
          <w:wAfter w:w="46" w:type="pct"/>
          <w:trHeight w:val="458"/>
        </w:trPr>
        <w:tc>
          <w:tcPr>
            <w:tcW w:w="252" w:type="pct"/>
            <w:tcBorders>
              <w:top w:val="nil"/>
              <w:left w:val="single" w:sz="8" w:space="0" w:color="auto"/>
              <w:bottom w:val="single" w:sz="8" w:space="0" w:color="000000"/>
              <w:right w:val="single" w:sz="4" w:space="0" w:color="auto"/>
            </w:tcBorders>
            <w:shd w:val="clear" w:color="auto" w:fill="auto"/>
            <w:noWrap/>
            <w:vAlign w:val="center"/>
          </w:tcPr>
          <w:p w14:paraId="32AE8C69" w14:textId="6D216D1B" w:rsidR="00D90393" w:rsidRDefault="00D90393" w:rsidP="00D90393">
            <w:pPr>
              <w:jc w:val="center"/>
              <w:rPr>
                <w:rFonts w:ascii="Calibri" w:hAnsi="Calibri" w:cs="Calibri"/>
                <w:b/>
                <w:bCs/>
                <w:color w:val="000000"/>
                <w:sz w:val="22"/>
                <w:szCs w:val="22"/>
              </w:rPr>
            </w:pPr>
            <w:r w:rsidRPr="00D90393">
              <w:rPr>
                <w:rFonts w:ascii="Calibri" w:hAnsi="Calibri" w:cs="Calibri"/>
                <w:b/>
                <w:bCs/>
                <w:color w:val="000000"/>
                <w:sz w:val="22"/>
                <w:szCs w:val="22"/>
              </w:rPr>
              <w:t>2.</w:t>
            </w:r>
          </w:p>
        </w:tc>
        <w:tc>
          <w:tcPr>
            <w:tcW w:w="734" w:type="pct"/>
            <w:tcBorders>
              <w:top w:val="nil"/>
              <w:left w:val="single" w:sz="4" w:space="0" w:color="auto"/>
              <w:bottom w:val="single" w:sz="8" w:space="0" w:color="000000"/>
              <w:right w:val="single" w:sz="4" w:space="0" w:color="auto"/>
            </w:tcBorders>
            <w:shd w:val="clear" w:color="auto" w:fill="auto"/>
            <w:vAlign w:val="center"/>
          </w:tcPr>
          <w:p w14:paraId="6D4D62D8" w14:textId="445DFF9E" w:rsidR="00D90393" w:rsidRDefault="00D90393" w:rsidP="00D90393">
            <w:pPr>
              <w:jc w:val="center"/>
              <w:rPr>
                <w:rFonts w:ascii="Calibri" w:hAnsi="Calibri" w:cs="Calibri"/>
                <w:b/>
                <w:bCs/>
                <w:color w:val="000000"/>
                <w:sz w:val="22"/>
                <w:szCs w:val="22"/>
              </w:rPr>
            </w:pPr>
            <w:proofErr w:type="spellStart"/>
            <w:r>
              <w:rPr>
                <w:rFonts w:ascii="Calibri" w:hAnsi="Calibri" w:cs="Calibri"/>
                <w:b/>
                <w:bCs/>
                <w:color w:val="000000"/>
                <w:sz w:val="22"/>
                <w:szCs w:val="22"/>
              </w:rPr>
              <w:t>Peginterferon</w:t>
            </w:r>
            <w:proofErr w:type="spellEnd"/>
            <w:r>
              <w:rPr>
                <w:rFonts w:ascii="Calibri" w:hAnsi="Calibri" w:cs="Calibri"/>
                <w:b/>
                <w:bCs/>
                <w:color w:val="000000"/>
                <w:sz w:val="22"/>
                <w:szCs w:val="22"/>
              </w:rPr>
              <w:t xml:space="preserve"> beta-1a 125 mg</w:t>
            </w:r>
          </w:p>
        </w:tc>
        <w:tc>
          <w:tcPr>
            <w:tcW w:w="401" w:type="pct"/>
            <w:tcBorders>
              <w:top w:val="nil"/>
              <w:left w:val="single" w:sz="4" w:space="0" w:color="auto"/>
              <w:bottom w:val="single" w:sz="8" w:space="0" w:color="000000"/>
              <w:right w:val="single" w:sz="4" w:space="0" w:color="auto"/>
            </w:tcBorders>
            <w:shd w:val="clear" w:color="auto" w:fill="auto"/>
            <w:noWrap/>
            <w:vAlign w:val="center"/>
          </w:tcPr>
          <w:p w14:paraId="4CD5FC58" w14:textId="652426F0" w:rsidR="00D90393" w:rsidRDefault="00D90393" w:rsidP="00D90393">
            <w:pPr>
              <w:jc w:val="center"/>
              <w:rPr>
                <w:rFonts w:ascii="Calibri" w:hAnsi="Calibri" w:cs="Calibri"/>
                <w:color w:val="000000"/>
                <w:sz w:val="22"/>
                <w:szCs w:val="22"/>
              </w:rPr>
            </w:pPr>
            <w:r>
              <w:rPr>
                <w:rFonts w:ascii="Calibri" w:hAnsi="Calibri" w:cs="Calibri"/>
                <w:color w:val="000000"/>
                <w:sz w:val="22"/>
                <w:szCs w:val="22"/>
              </w:rPr>
              <w:t>L03AB13</w:t>
            </w:r>
          </w:p>
        </w:tc>
        <w:tc>
          <w:tcPr>
            <w:tcW w:w="359"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483E89D2" w14:textId="77777777" w:rsidR="00D90393" w:rsidRPr="00266148" w:rsidRDefault="00D90393" w:rsidP="00D90393">
            <w:pPr>
              <w:jc w:val="center"/>
              <w:rPr>
                <w:rFonts w:ascii="Calibri" w:hAnsi="Calibri" w:cs="Calibri"/>
                <w:b/>
                <w:bCs/>
                <w:color w:val="000000"/>
                <w:sz w:val="20"/>
                <w:szCs w:val="20"/>
              </w:rPr>
            </w:pPr>
          </w:p>
        </w:tc>
        <w:tc>
          <w:tcPr>
            <w:tcW w:w="54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23A0C91" w14:textId="77777777" w:rsidR="00D90393" w:rsidRPr="00266148" w:rsidRDefault="00D90393" w:rsidP="00D90393">
            <w:pPr>
              <w:jc w:val="center"/>
              <w:rPr>
                <w:rFonts w:ascii="Calibri" w:hAnsi="Calibri" w:cs="Calibri"/>
                <w:b/>
                <w:bCs/>
                <w:color w:val="000000"/>
                <w:sz w:val="20"/>
                <w:szCs w:val="20"/>
              </w:rPr>
            </w:pPr>
          </w:p>
        </w:tc>
        <w:tc>
          <w:tcPr>
            <w:tcW w:w="432"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800D0E6" w14:textId="77777777" w:rsidR="00D90393" w:rsidRPr="00266148" w:rsidRDefault="00D90393" w:rsidP="00D90393">
            <w:pPr>
              <w:jc w:val="center"/>
              <w:rPr>
                <w:rFonts w:ascii="Calibri" w:hAnsi="Calibri" w:cs="Calibri"/>
                <w:b/>
                <w:bCs/>
                <w:color w:val="000000"/>
                <w:sz w:val="20"/>
                <w:szCs w:val="20"/>
              </w:rPr>
            </w:pPr>
          </w:p>
        </w:tc>
        <w:tc>
          <w:tcPr>
            <w:tcW w:w="548" w:type="pct"/>
            <w:gridSpan w:val="2"/>
            <w:tcBorders>
              <w:top w:val="nil"/>
              <w:left w:val="single" w:sz="4" w:space="0" w:color="auto"/>
              <w:bottom w:val="single" w:sz="8" w:space="0" w:color="000000"/>
              <w:right w:val="single" w:sz="4" w:space="0" w:color="auto"/>
            </w:tcBorders>
            <w:shd w:val="clear" w:color="auto" w:fill="auto"/>
            <w:vAlign w:val="center"/>
          </w:tcPr>
          <w:p w14:paraId="425AC033" w14:textId="2ADE592C" w:rsidR="00D90393" w:rsidRDefault="00D90393" w:rsidP="00D90393">
            <w:pPr>
              <w:jc w:val="center"/>
              <w:rPr>
                <w:rFonts w:ascii="Calibri" w:hAnsi="Calibri" w:cs="Calibri"/>
                <w:b/>
                <w:bCs/>
                <w:color w:val="000000"/>
                <w:sz w:val="22"/>
                <w:szCs w:val="22"/>
              </w:rPr>
            </w:pPr>
            <w:r>
              <w:rPr>
                <w:rFonts w:ascii="Calibri" w:hAnsi="Calibri" w:cs="Calibri"/>
                <w:b/>
                <w:bCs/>
                <w:color w:val="000000"/>
                <w:sz w:val="22"/>
                <w:szCs w:val="22"/>
              </w:rPr>
              <w:t>INJ SOL PEP</w:t>
            </w:r>
          </w:p>
        </w:tc>
        <w:tc>
          <w:tcPr>
            <w:tcW w:w="717" w:type="pct"/>
            <w:gridSpan w:val="2"/>
            <w:tcBorders>
              <w:top w:val="nil"/>
              <w:left w:val="nil"/>
              <w:bottom w:val="single" w:sz="8" w:space="0" w:color="000000"/>
              <w:right w:val="single" w:sz="4" w:space="0" w:color="auto"/>
            </w:tcBorders>
            <w:shd w:val="clear" w:color="auto" w:fill="auto"/>
            <w:noWrap/>
            <w:vAlign w:val="center"/>
          </w:tcPr>
          <w:p w14:paraId="2E8C4AA8" w14:textId="2F0FA64E" w:rsidR="00D90393" w:rsidRDefault="00D90393" w:rsidP="00D90393">
            <w:pPr>
              <w:jc w:val="center"/>
              <w:rPr>
                <w:rFonts w:ascii="Calibri" w:hAnsi="Calibri" w:cs="Calibri"/>
                <w:b/>
                <w:bCs/>
                <w:color w:val="000000"/>
                <w:sz w:val="22"/>
                <w:szCs w:val="22"/>
              </w:rPr>
            </w:pPr>
            <w:r>
              <w:rPr>
                <w:rFonts w:ascii="Calibri" w:hAnsi="Calibri" w:cs="Calibri"/>
                <w:b/>
                <w:bCs/>
                <w:color w:val="000000"/>
                <w:sz w:val="22"/>
                <w:szCs w:val="22"/>
              </w:rPr>
              <w:t>2 x 0,5 ml</w:t>
            </w: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718D89C" w14:textId="77777777" w:rsidR="00D90393" w:rsidRPr="00266148" w:rsidRDefault="00D90393" w:rsidP="00D90393">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F3AC0BF" w14:textId="77777777" w:rsidR="00D90393" w:rsidRPr="00266148" w:rsidRDefault="00D90393" w:rsidP="00D90393">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3C0144B1" w14:textId="77777777" w:rsidR="00D90393" w:rsidRPr="00266148" w:rsidRDefault="00D90393" w:rsidP="00D90393">
            <w:pPr>
              <w:jc w:val="center"/>
              <w:rPr>
                <w:rFonts w:ascii="Calibri" w:hAnsi="Calibri" w:cs="Calibri"/>
                <w:b/>
                <w:bCs/>
                <w:color w:val="000000"/>
                <w:sz w:val="20"/>
                <w:szCs w:val="20"/>
              </w:rPr>
            </w:pPr>
          </w:p>
        </w:tc>
      </w:tr>
      <w:tr w:rsidR="00D90393" w:rsidRPr="00266148" w14:paraId="1F154116" w14:textId="77777777" w:rsidTr="00D90393">
        <w:trPr>
          <w:gridAfter w:val="1"/>
          <w:wAfter w:w="46" w:type="pct"/>
          <w:trHeight w:val="458"/>
        </w:trPr>
        <w:tc>
          <w:tcPr>
            <w:tcW w:w="25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676248DA" w:rsidR="00D90393" w:rsidRPr="00266148" w:rsidRDefault="00D90393" w:rsidP="00D90393">
            <w:pPr>
              <w:jc w:val="center"/>
              <w:rPr>
                <w:rFonts w:ascii="Calibri" w:hAnsi="Calibri" w:cs="Calibri"/>
                <w:b/>
                <w:bCs/>
                <w:color w:val="000000"/>
                <w:sz w:val="20"/>
                <w:szCs w:val="20"/>
              </w:rPr>
            </w:pPr>
            <w:r>
              <w:rPr>
                <w:rFonts w:ascii="Calibri" w:hAnsi="Calibri" w:cs="Calibri"/>
                <w:b/>
                <w:bCs/>
                <w:color w:val="000000"/>
                <w:sz w:val="22"/>
                <w:szCs w:val="22"/>
              </w:rPr>
              <w:t>3.</w:t>
            </w:r>
          </w:p>
        </w:tc>
        <w:tc>
          <w:tcPr>
            <w:tcW w:w="734" w:type="pct"/>
            <w:tcBorders>
              <w:top w:val="nil"/>
              <w:left w:val="single" w:sz="4" w:space="0" w:color="auto"/>
              <w:bottom w:val="single" w:sz="8" w:space="0" w:color="000000"/>
              <w:right w:val="single" w:sz="4" w:space="0" w:color="auto"/>
            </w:tcBorders>
            <w:shd w:val="clear" w:color="auto" w:fill="auto"/>
            <w:vAlign w:val="center"/>
            <w:hideMark/>
          </w:tcPr>
          <w:p w14:paraId="445274FC" w14:textId="2FB2E20D" w:rsidR="00D90393" w:rsidRPr="00266148" w:rsidRDefault="00D90393" w:rsidP="00D90393">
            <w:pPr>
              <w:jc w:val="center"/>
              <w:rPr>
                <w:rFonts w:ascii="Calibri" w:hAnsi="Calibri" w:cs="Calibri"/>
                <w:b/>
                <w:bCs/>
                <w:color w:val="000000"/>
                <w:sz w:val="20"/>
                <w:szCs w:val="20"/>
              </w:rPr>
            </w:pPr>
            <w:proofErr w:type="spellStart"/>
            <w:r>
              <w:rPr>
                <w:rFonts w:ascii="Calibri" w:hAnsi="Calibri" w:cs="Calibri"/>
                <w:b/>
                <w:bCs/>
                <w:color w:val="000000"/>
                <w:sz w:val="22"/>
                <w:szCs w:val="22"/>
              </w:rPr>
              <w:t>Peginterferon</w:t>
            </w:r>
            <w:proofErr w:type="spellEnd"/>
            <w:r>
              <w:rPr>
                <w:rFonts w:ascii="Calibri" w:hAnsi="Calibri" w:cs="Calibri"/>
                <w:b/>
                <w:bCs/>
                <w:color w:val="000000"/>
                <w:sz w:val="22"/>
                <w:szCs w:val="22"/>
              </w:rPr>
              <w:t xml:space="preserve"> beta-1a 125 mg intramuskulární podání</w:t>
            </w:r>
          </w:p>
        </w:tc>
        <w:tc>
          <w:tcPr>
            <w:tcW w:w="401"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43F57589" w:rsidR="00D90393" w:rsidRPr="00266148" w:rsidRDefault="00D90393" w:rsidP="00D90393">
            <w:pPr>
              <w:jc w:val="center"/>
              <w:rPr>
                <w:rFonts w:ascii="Calibri" w:hAnsi="Calibri" w:cs="Calibri"/>
                <w:color w:val="000000"/>
                <w:sz w:val="20"/>
                <w:szCs w:val="20"/>
              </w:rPr>
            </w:pPr>
            <w:r>
              <w:rPr>
                <w:rFonts w:ascii="Calibri" w:hAnsi="Calibri" w:cs="Calibri"/>
                <w:color w:val="000000"/>
                <w:sz w:val="22"/>
                <w:szCs w:val="22"/>
              </w:rPr>
              <w:t>L03AB13</w:t>
            </w:r>
          </w:p>
        </w:tc>
        <w:tc>
          <w:tcPr>
            <w:tcW w:w="359"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D90393" w:rsidRPr="00266148" w:rsidRDefault="00D90393" w:rsidP="00D90393">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4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D90393" w:rsidRPr="00266148" w:rsidRDefault="00D90393" w:rsidP="00D90393">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32"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D90393" w:rsidRPr="00266148" w:rsidRDefault="00D90393" w:rsidP="00D90393">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48"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4E260449" w:rsidR="00D90393" w:rsidRPr="00266148" w:rsidRDefault="00D90393" w:rsidP="00D90393">
            <w:pPr>
              <w:jc w:val="center"/>
              <w:rPr>
                <w:rFonts w:ascii="Calibri" w:hAnsi="Calibri" w:cs="Calibri"/>
                <w:b/>
                <w:bCs/>
                <w:color w:val="000000"/>
                <w:sz w:val="20"/>
                <w:szCs w:val="20"/>
              </w:rPr>
            </w:pPr>
            <w:r>
              <w:rPr>
                <w:rFonts w:ascii="Calibri" w:hAnsi="Calibri" w:cs="Calibri"/>
                <w:b/>
                <w:bCs/>
                <w:color w:val="000000"/>
                <w:sz w:val="22"/>
                <w:szCs w:val="22"/>
              </w:rPr>
              <w:t xml:space="preserve">INJ SOL </w:t>
            </w:r>
          </w:p>
        </w:tc>
        <w:tc>
          <w:tcPr>
            <w:tcW w:w="717" w:type="pct"/>
            <w:gridSpan w:val="2"/>
            <w:tcBorders>
              <w:top w:val="nil"/>
              <w:left w:val="nil"/>
              <w:bottom w:val="single" w:sz="8" w:space="0" w:color="000000"/>
              <w:right w:val="single" w:sz="4" w:space="0" w:color="auto"/>
            </w:tcBorders>
            <w:shd w:val="clear" w:color="auto" w:fill="auto"/>
            <w:noWrap/>
            <w:vAlign w:val="center"/>
            <w:hideMark/>
          </w:tcPr>
          <w:p w14:paraId="299AFF0F" w14:textId="63C75E3F" w:rsidR="00D90393" w:rsidRPr="00266148" w:rsidRDefault="00D90393" w:rsidP="00D90393">
            <w:pPr>
              <w:jc w:val="center"/>
              <w:rPr>
                <w:rFonts w:ascii="Calibri" w:hAnsi="Calibri" w:cs="Calibri"/>
                <w:b/>
                <w:bCs/>
                <w:color w:val="000000"/>
                <w:sz w:val="20"/>
                <w:szCs w:val="20"/>
              </w:rPr>
            </w:pPr>
            <w:r>
              <w:rPr>
                <w:rFonts w:ascii="Calibri" w:hAnsi="Calibri" w:cs="Calibri"/>
                <w:b/>
                <w:bCs/>
                <w:color w:val="000000"/>
                <w:sz w:val="22"/>
                <w:szCs w:val="22"/>
              </w:rPr>
              <w:t>2 x 0,5 ml</w:t>
            </w: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D90393" w:rsidRPr="00266148" w:rsidRDefault="00D90393" w:rsidP="00D90393">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D90393" w:rsidRPr="00266148" w:rsidRDefault="00D90393" w:rsidP="00D90393">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D90393" w:rsidRPr="00266148" w:rsidRDefault="00D90393" w:rsidP="00D90393">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FF1C35" w:rsidRDefault="00266148" w:rsidP="00266148">
      <w:pPr>
        <w:rPr>
          <w:rFonts w:asciiTheme="minorHAnsi" w:hAnsiTheme="minorHAnsi" w:cstheme="minorHAnsi"/>
          <w:b/>
          <w:sz w:val="20"/>
          <w:szCs w:val="20"/>
        </w:rPr>
      </w:pPr>
      <w:r>
        <w:tab/>
      </w:r>
      <w:r w:rsidRPr="00586395">
        <w:rPr>
          <w:rFonts w:asciiTheme="minorHAnsi" w:hAnsiTheme="minorHAnsi" w:cstheme="minorHAnsi"/>
          <w:b/>
          <w:sz w:val="20"/>
          <w:szCs w:val="20"/>
          <w:u w:val="single"/>
        </w:rPr>
        <w:t>Specifikace jednotlivých položek</w:t>
      </w:r>
      <w:r w:rsidRPr="00FF1C35">
        <w:rPr>
          <w:rFonts w:asciiTheme="minorHAnsi" w:hAnsiTheme="minorHAnsi" w:cstheme="minorHAnsi"/>
          <w:b/>
          <w:sz w:val="20"/>
          <w:szCs w:val="20"/>
        </w:rPr>
        <w:t>:</w:t>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67E53803" w14:textId="3C4146E5" w:rsidR="00BF670B" w:rsidRDefault="00266148" w:rsidP="00C83A9F">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D90393" w:rsidRPr="00D90393">
        <w:rPr>
          <w:rFonts w:asciiTheme="minorHAnsi" w:hAnsiTheme="minorHAnsi" w:cstheme="minorHAnsi"/>
          <w:sz w:val="20"/>
          <w:szCs w:val="20"/>
        </w:rPr>
        <w:t xml:space="preserve">Jedno </w:t>
      </w:r>
      <w:proofErr w:type="spellStart"/>
      <w:r w:rsidR="00D90393" w:rsidRPr="00D90393">
        <w:rPr>
          <w:rFonts w:asciiTheme="minorHAnsi" w:hAnsiTheme="minorHAnsi" w:cstheme="minorHAnsi"/>
          <w:sz w:val="20"/>
          <w:szCs w:val="20"/>
        </w:rPr>
        <w:t>předplněné</w:t>
      </w:r>
      <w:proofErr w:type="spellEnd"/>
      <w:r w:rsidR="00D90393" w:rsidRPr="00D90393">
        <w:rPr>
          <w:rFonts w:asciiTheme="minorHAnsi" w:hAnsiTheme="minorHAnsi" w:cstheme="minorHAnsi"/>
          <w:sz w:val="20"/>
          <w:szCs w:val="20"/>
        </w:rPr>
        <w:t xml:space="preserve"> pero obsahuje </w:t>
      </w:r>
      <w:proofErr w:type="spellStart"/>
      <w:r w:rsidR="00D90393" w:rsidRPr="00D90393">
        <w:rPr>
          <w:rFonts w:asciiTheme="minorHAnsi" w:hAnsiTheme="minorHAnsi" w:cstheme="minorHAnsi"/>
          <w:sz w:val="20"/>
          <w:szCs w:val="20"/>
        </w:rPr>
        <w:t>peginterferon</w:t>
      </w:r>
      <w:proofErr w:type="spellEnd"/>
      <w:r w:rsidR="00D90393" w:rsidRPr="00D90393">
        <w:rPr>
          <w:rFonts w:asciiTheme="minorHAnsi" w:hAnsiTheme="minorHAnsi" w:cstheme="minorHAnsi"/>
          <w:sz w:val="20"/>
          <w:szCs w:val="20"/>
        </w:rPr>
        <w:t xml:space="preserve"> beta-1a 63 </w:t>
      </w:r>
      <w:proofErr w:type="spellStart"/>
      <w:r w:rsidR="00D90393" w:rsidRPr="00D90393">
        <w:rPr>
          <w:rFonts w:asciiTheme="minorHAnsi" w:hAnsiTheme="minorHAnsi" w:cstheme="minorHAnsi"/>
          <w:sz w:val="20"/>
          <w:szCs w:val="20"/>
        </w:rPr>
        <w:t>mcg</w:t>
      </w:r>
      <w:proofErr w:type="spellEnd"/>
      <w:r w:rsidR="00D90393" w:rsidRPr="00D90393">
        <w:rPr>
          <w:rFonts w:asciiTheme="minorHAnsi" w:hAnsiTheme="minorHAnsi" w:cstheme="minorHAnsi"/>
          <w:sz w:val="20"/>
          <w:szCs w:val="20"/>
        </w:rPr>
        <w:t xml:space="preserve"> v 0,5 ml injekčního roztoku.</w:t>
      </w:r>
    </w:p>
    <w:p w14:paraId="2F499EA7" w14:textId="691C62D2" w:rsidR="00D90393" w:rsidRDefault="00D90393" w:rsidP="00C83A9F">
      <w:pPr>
        <w:rPr>
          <w:rFonts w:asciiTheme="minorHAnsi" w:hAnsiTheme="minorHAnsi" w:cstheme="minorHAnsi"/>
          <w:sz w:val="20"/>
          <w:szCs w:val="20"/>
        </w:rPr>
      </w:pPr>
      <w:r>
        <w:rPr>
          <w:rFonts w:asciiTheme="minorHAnsi" w:hAnsiTheme="minorHAnsi" w:cstheme="minorHAnsi"/>
          <w:sz w:val="20"/>
          <w:szCs w:val="20"/>
        </w:rPr>
        <w:tab/>
      </w:r>
      <w:r w:rsidRPr="00D90393">
        <w:rPr>
          <w:rFonts w:asciiTheme="minorHAnsi" w:hAnsiTheme="minorHAnsi" w:cstheme="minorHAnsi"/>
          <w:sz w:val="20"/>
          <w:szCs w:val="20"/>
        </w:rPr>
        <w:t xml:space="preserve">Jedno </w:t>
      </w:r>
      <w:proofErr w:type="spellStart"/>
      <w:r w:rsidRPr="00D90393">
        <w:rPr>
          <w:rFonts w:asciiTheme="minorHAnsi" w:hAnsiTheme="minorHAnsi" w:cstheme="minorHAnsi"/>
          <w:sz w:val="20"/>
          <w:szCs w:val="20"/>
        </w:rPr>
        <w:t>předplněné</w:t>
      </w:r>
      <w:proofErr w:type="spellEnd"/>
      <w:r w:rsidRPr="00D90393">
        <w:rPr>
          <w:rFonts w:asciiTheme="minorHAnsi" w:hAnsiTheme="minorHAnsi" w:cstheme="minorHAnsi"/>
          <w:sz w:val="20"/>
          <w:szCs w:val="20"/>
        </w:rPr>
        <w:t xml:space="preserve"> pero obsahuje </w:t>
      </w:r>
      <w:proofErr w:type="spellStart"/>
      <w:r w:rsidRPr="00D90393">
        <w:rPr>
          <w:rFonts w:asciiTheme="minorHAnsi" w:hAnsiTheme="minorHAnsi" w:cstheme="minorHAnsi"/>
          <w:sz w:val="20"/>
          <w:szCs w:val="20"/>
        </w:rPr>
        <w:t>peginterferon</w:t>
      </w:r>
      <w:proofErr w:type="spellEnd"/>
      <w:r w:rsidRPr="00D90393">
        <w:rPr>
          <w:rFonts w:asciiTheme="minorHAnsi" w:hAnsiTheme="minorHAnsi" w:cstheme="minorHAnsi"/>
          <w:sz w:val="20"/>
          <w:szCs w:val="20"/>
        </w:rPr>
        <w:t xml:space="preserve"> beta-1a 94 </w:t>
      </w:r>
      <w:proofErr w:type="spellStart"/>
      <w:r w:rsidRPr="00D90393">
        <w:rPr>
          <w:rFonts w:asciiTheme="minorHAnsi" w:hAnsiTheme="minorHAnsi" w:cstheme="minorHAnsi"/>
          <w:sz w:val="20"/>
          <w:szCs w:val="20"/>
        </w:rPr>
        <w:t>mcg</w:t>
      </w:r>
      <w:proofErr w:type="spellEnd"/>
      <w:r w:rsidRPr="00D90393">
        <w:rPr>
          <w:rFonts w:asciiTheme="minorHAnsi" w:hAnsiTheme="minorHAnsi" w:cstheme="minorHAnsi"/>
          <w:sz w:val="20"/>
          <w:szCs w:val="20"/>
        </w:rPr>
        <w:t xml:space="preserve"> v 0,5 ml injekčního roztoku.</w:t>
      </w:r>
    </w:p>
    <w:p w14:paraId="01080D53" w14:textId="77777777" w:rsidR="00D90393" w:rsidRDefault="00D90393" w:rsidP="00C83A9F">
      <w:pPr>
        <w:rPr>
          <w:rFonts w:asciiTheme="minorHAnsi" w:hAnsiTheme="minorHAnsi" w:cstheme="minorHAnsi"/>
          <w:sz w:val="20"/>
          <w:szCs w:val="20"/>
        </w:rPr>
      </w:pPr>
    </w:p>
    <w:p w14:paraId="5B4D4B38" w14:textId="2CF3E65F" w:rsidR="00D90393" w:rsidRDefault="00BF670B" w:rsidP="00C83A9F">
      <w:pPr>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rPr>
        <w:tab/>
      </w:r>
      <w:r w:rsidR="00D90393" w:rsidRPr="00D90393">
        <w:rPr>
          <w:rFonts w:asciiTheme="minorHAnsi" w:hAnsiTheme="minorHAnsi" w:cstheme="minorHAnsi"/>
          <w:sz w:val="20"/>
          <w:szCs w:val="20"/>
        </w:rPr>
        <w:t xml:space="preserve">Jedno </w:t>
      </w:r>
      <w:proofErr w:type="spellStart"/>
      <w:r w:rsidR="00D90393" w:rsidRPr="00D90393">
        <w:rPr>
          <w:rFonts w:asciiTheme="minorHAnsi" w:hAnsiTheme="minorHAnsi" w:cstheme="minorHAnsi"/>
          <w:sz w:val="20"/>
          <w:szCs w:val="20"/>
        </w:rPr>
        <w:t>předplněné</w:t>
      </w:r>
      <w:proofErr w:type="spellEnd"/>
      <w:r w:rsidR="00D90393" w:rsidRPr="00D90393">
        <w:rPr>
          <w:rFonts w:asciiTheme="minorHAnsi" w:hAnsiTheme="minorHAnsi" w:cstheme="minorHAnsi"/>
          <w:sz w:val="20"/>
          <w:szCs w:val="20"/>
        </w:rPr>
        <w:t xml:space="preserve"> pero obsahuje </w:t>
      </w:r>
      <w:proofErr w:type="spellStart"/>
      <w:r w:rsidR="00D90393" w:rsidRPr="00D90393">
        <w:rPr>
          <w:rFonts w:asciiTheme="minorHAnsi" w:hAnsiTheme="minorHAnsi" w:cstheme="minorHAnsi"/>
          <w:sz w:val="20"/>
          <w:szCs w:val="20"/>
        </w:rPr>
        <w:t>peginterferon</w:t>
      </w:r>
      <w:proofErr w:type="spellEnd"/>
      <w:r w:rsidR="00D90393" w:rsidRPr="00D90393">
        <w:rPr>
          <w:rFonts w:asciiTheme="minorHAnsi" w:hAnsiTheme="minorHAnsi" w:cstheme="minorHAnsi"/>
          <w:sz w:val="20"/>
          <w:szCs w:val="20"/>
        </w:rPr>
        <w:t xml:space="preserve"> beta-1a 125 </w:t>
      </w:r>
      <w:proofErr w:type="spellStart"/>
      <w:r w:rsidR="00D90393" w:rsidRPr="00D90393">
        <w:rPr>
          <w:rFonts w:asciiTheme="minorHAnsi" w:hAnsiTheme="minorHAnsi" w:cstheme="minorHAnsi"/>
          <w:sz w:val="20"/>
          <w:szCs w:val="20"/>
        </w:rPr>
        <w:t>mcg</w:t>
      </w:r>
      <w:proofErr w:type="spellEnd"/>
      <w:r w:rsidR="00D90393" w:rsidRPr="00D90393">
        <w:rPr>
          <w:rFonts w:asciiTheme="minorHAnsi" w:hAnsiTheme="minorHAnsi" w:cstheme="minorHAnsi"/>
          <w:sz w:val="20"/>
          <w:szCs w:val="20"/>
        </w:rPr>
        <w:t xml:space="preserve"> v 0,5 ml injekčního roztoku.</w:t>
      </w:r>
    </w:p>
    <w:p w14:paraId="23D98D5A" w14:textId="77777777" w:rsidR="00D90393" w:rsidRDefault="00D90393" w:rsidP="00C83A9F">
      <w:pPr>
        <w:rPr>
          <w:rFonts w:asciiTheme="minorHAnsi" w:hAnsiTheme="minorHAnsi" w:cstheme="minorHAnsi"/>
          <w:sz w:val="20"/>
          <w:szCs w:val="20"/>
        </w:rPr>
      </w:pPr>
      <w:bookmarkStart w:id="0" w:name="_GoBack"/>
      <w:bookmarkEnd w:id="0"/>
    </w:p>
    <w:p w14:paraId="3246D03F" w14:textId="36294A83" w:rsidR="00266148" w:rsidRPr="00D65BA2" w:rsidRDefault="00D90393" w:rsidP="00C83A9F">
      <w:pPr>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sz w:val="20"/>
          <w:szCs w:val="20"/>
        </w:rPr>
        <w:tab/>
      </w:r>
      <w:r w:rsidRPr="00D90393">
        <w:rPr>
          <w:rFonts w:asciiTheme="minorHAnsi" w:hAnsiTheme="minorHAnsi" w:cstheme="minorHAnsi"/>
          <w:sz w:val="20"/>
          <w:szCs w:val="20"/>
        </w:rPr>
        <w:t xml:space="preserve">Jedna </w:t>
      </w:r>
      <w:proofErr w:type="spellStart"/>
      <w:r w:rsidRPr="00D90393">
        <w:rPr>
          <w:rFonts w:asciiTheme="minorHAnsi" w:hAnsiTheme="minorHAnsi" w:cstheme="minorHAnsi"/>
          <w:sz w:val="20"/>
          <w:szCs w:val="20"/>
        </w:rPr>
        <w:t>předplněná</w:t>
      </w:r>
      <w:proofErr w:type="spellEnd"/>
      <w:r w:rsidRPr="00D90393">
        <w:rPr>
          <w:rFonts w:asciiTheme="minorHAnsi" w:hAnsiTheme="minorHAnsi" w:cstheme="minorHAnsi"/>
          <w:sz w:val="20"/>
          <w:szCs w:val="20"/>
        </w:rPr>
        <w:t xml:space="preserve"> stříkačka obsahuje </w:t>
      </w:r>
      <w:proofErr w:type="spellStart"/>
      <w:r w:rsidRPr="00D90393">
        <w:rPr>
          <w:rFonts w:asciiTheme="minorHAnsi" w:hAnsiTheme="minorHAnsi" w:cstheme="minorHAnsi"/>
          <w:sz w:val="20"/>
          <w:szCs w:val="20"/>
        </w:rPr>
        <w:t>pginterferonum</w:t>
      </w:r>
      <w:proofErr w:type="spellEnd"/>
      <w:r w:rsidRPr="00D90393">
        <w:rPr>
          <w:rFonts w:asciiTheme="minorHAnsi" w:hAnsiTheme="minorHAnsi" w:cstheme="minorHAnsi"/>
          <w:sz w:val="20"/>
          <w:szCs w:val="20"/>
        </w:rPr>
        <w:t xml:space="preserve"> beta-1a 125 </w:t>
      </w:r>
      <w:proofErr w:type="spellStart"/>
      <w:r w:rsidRPr="00D90393">
        <w:rPr>
          <w:rFonts w:asciiTheme="minorHAnsi" w:hAnsiTheme="minorHAnsi" w:cstheme="minorHAnsi"/>
          <w:sz w:val="20"/>
          <w:szCs w:val="20"/>
        </w:rPr>
        <w:t>mcg</w:t>
      </w:r>
      <w:proofErr w:type="spellEnd"/>
      <w:r w:rsidRPr="00D90393">
        <w:rPr>
          <w:rFonts w:asciiTheme="minorHAnsi" w:hAnsiTheme="minorHAnsi" w:cstheme="minorHAnsi"/>
          <w:sz w:val="20"/>
          <w:szCs w:val="20"/>
        </w:rPr>
        <w:t xml:space="preserve"> v 0,5 ml injekčního roztoku pro intramuskulární podání.</w:t>
      </w:r>
      <w:r w:rsidR="00266148">
        <w:tab/>
      </w:r>
      <w:r w:rsidR="00266148">
        <w:tab/>
      </w:r>
      <w:r w:rsidR="00266148">
        <w:tab/>
      </w:r>
      <w:r w:rsidR="00266148">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75BF1" w14:textId="77777777" w:rsidR="00263B38" w:rsidRDefault="00263B38">
      <w:r>
        <w:separator/>
      </w:r>
    </w:p>
  </w:endnote>
  <w:endnote w:type="continuationSeparator" w:id="0">
    <w:p w14:paraId="1201743E" w14:textId="77777777" w:rsidR="00263B38" w:rsidRDefault="0026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263B38"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3D38" w14:textId="77777777" w:rsidR="00263B38" w:rsidRDefault="00263B38">
      <w:r>
        <w:separator/>
      </w:r>
    </w:p>
  </w:footnote>
  <w:footnote w:type="continuationSeparator" w:id="0">
    <w:p w14:paraId="420D5956" w14:textId="77777777" w:rsidR="00263B38" w:rsidRDefault="0026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263B38"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3B38"/>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86395"/>
    <w:rsid w:val="005A12C6"/>
    <w:rsid w:val="005A13D4"/>
    <w:rsid w:val="005C008B"/>
    <w:rsid w:val="006E0F39"/>
    <w:rsid w:val="006E6113"/>
    <w:rsid w:val="006F2557"/>
    <w:rsid w:val="00736BF9"/>
    <w:rsid w:val="007C10CC"/>
    <w:rsid w:val="008459A9"/>
    <w:rsid w:val="0089535A"/>
    <w:rsid w:val="008A2F0C"/>
    <w:rsid w:val="0090360E"/>
    <w:rsid w:val="009103B5"/>
    <w:rsid w:val="00933B1A"/>
    <w:rsid w:val="009F136F"/>
    <w:rsid w:val="00A50C56"/>
    <w:rsid w:val="00AC6AD7"/>
    <w:rsid w:val="00AF3599"/>
    <w:rsid w:val="00B8783B"/>
    <w:rsid w:val="00BF670B"/>
    <w:rsid w:val="00C04CE5"/>
    <w:rsid w:val="00C83A9F"/>
    <w:rsid w:val="00CE2A85"/>
    <w:rsid w:val="00CF62E5"/>
    <w:rsid w:val="00D153C7"/>
    <w:rsid w:val="00D27838"/>
    <w:rsid w:val="00D65BA2"/>
    <w:rsid w:val="00D90393"/>
    <w:rsid w:val="00DA1C1F"/>
    <w:rsid w:val="00DB4EE6"/>
    <w:rsid w:val="00DB716F"/>
    <w:rsid w:val="00DD5422"/>
    <w:rsid w:val="00E0447E"/>
    <w:rsid w:val="00E310CE"/>
    <w:rsid w:val="00E472F4"/>
    <w:rsid w:val="00F24C68"/>
    <w:rsid w:val="00F53FEC"/>
    <w:rsid w:val="00F92039"/>
    <w:rsid w:val="00F965EC"/>
    <w:rsid w:val="00FB6F54"/>
    <w:rsid w:val="00FD1B29"/>
    <w:rsid w:val="00FF1C35"/>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0803">
      <w:bodyDiv w:val="1"/>
      <w:marLeft w:val="0"/>
      <w:marRight w:val="0"/>
      <w:marTop w:val="0"/>
      <w:marBottom w:val="0"/>
      <w:divBdr>
        <w:top w:val="none" w:sz="0" w:space="0" w:color="auto"/>
        <w:left w:val="none" w:sz="0" w:space="0" w:color="auto"/>
        <w:bottom w:val="none" w:sz="0" w:space="0" w:color="auto"/>
        <w:right w:val="none" w:sz="0" w:space="0" w:color="auto"/>
      </w:divBdr>
    </w:div>
    <w:div w:id="170490984">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592129039">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7</Pages>
  <Words>3546</Words>
  <Characters>20925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31</cp:revision>
  <dcterms:created xsi:type="dcterms:W3CDTF">2024-04-10T09:32:00Z</dcterms:created>
  <dcterms:modified xsi:type="dcterms:W3CDTF">2025-09-10T07:25:00Z</dcterms:modified>
</cp:coreProperties>
</file>