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Poradenství a administrativní podpora dotačního projektu IROP pro 103. výzvu</w:t>
            </w:r>
          </w:p>
        </w:tc>
      </w:tr>
    </w:tbl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 w:val="20"/>
          <w:szCs w:val="20"/>
        </w:rPr>
        <w:t>zákon</w:t>
      </w:r>
      <w:r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>
        <w:rPr>
          <w:rFonts w:eastAsia="Calibri" w:cs="Arial"/>
          <w:b/>
          <w:sz w:val="20"/>
          <w:szCs w:val="20"/>
        </w:rPr>
        <w:t>§ 74 zákona</w:t>
      </w:r>
      <w:r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 profesní způsobilosti analogicky dle ustanovení</w:t>
      </w:r>
      <w:r>
        <w:rPr>
          <w:rFonts w:eastAsia="Calibri" w:cs="Arial"/>
          <w:b/>
          <w:sz w:val="20"/>
          <w:szCs w:val="20"/>
        </w:rPr>
        <w:t xml:space="preserve"> § 77 odst. 1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TECHNICKÁ KVALIFIKACE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Ve vztahu k technické kvalifikaci analogicky dle ustanovení </w:t>
      </w:r>
      <w:r>
        <w:rPr>
          <w:rFonts w:eastAsia="Calibri" w:cs="Arial"/>
          <w:b/>
          <w:sz w:val="20"/>
          <w:szCs w:val="20"/>
        </w:rPr>
        <w:t>§ 79 odst. 2 písm. b) zákona</w:t>
      </w:r>
      <w:r>
        <w:rPr>
          <w:rFonts w:eastAsia="Calibri" w:cs="Arial"/>
          <w:sz w:val="20"/>
          <w:szCs w:val="20"/>
        </w:rPr>
        <w:t xml:space="preserve"> dodavatel prohlašuje, že splňuje tuto technickou kvalifikaci v 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lastRenderedPageBreak/>
        <w:t>Účastník</w:t>
      </w:r>
      <w:r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bookmarkStart w:id="0" w:name="_GoBack"/>
      <w:bookmarkEnd w:id="0"/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/>
          <w:sz w:val="20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52E3-F21E-43A7-B7A6-C93A6A97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2025-06-26T09:12:00Z</dcterms:created>
  <dcterms:modified xsi:type="dcterms:W3CDTF">2025-06-26T09:12:00Z</dcterms:modified>
</cp:coreProperties>
</file>