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6779" w14:textId="77777777" w:rsidR="008D6A89" w:rsidRPr="004C2BC8" w:rsidRDefault="008D6A89" w:rsidP="004C2BC8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4C2BC8">
        <w:rPr>
          <w:rFonts w:cs="Arial"/>
          <w:b/>
          <w:sz w:val="28"/>
          <w:szCs w:val="28"/>
        </w:rPr>
        <w:t xml:space="preserve">Operační chirurgická </w:t>
      </w:r>
      <w:proofErr w:type="gramStart"/>
      <w:r w:rsidRPr="004C2BC8">
        <w:rPr>
          <w:rFonts w:cs="Arial"/>
          <w:b/>
          <w:sz w:val="28"/>
          <w:szCs w:val="28"/>
        </w:rPr>
        <w:t>světla - Technická</w:t>
      </w:r>
      <w:proofErr w:type="gramEnd"/>
      <w:r w:rsidRPr="004C2BC8">
        <w:rPr>
          <w:rFonts w:cs="Arial"/>
          <w:b/>
          <w:sz w:val="28"/>
          <w:szCs w:val="28"/>
        </w:rPr>
        <w:t xml:space="preserve"> specifikace pro část 1</w:t>
      </w:r>
    </w:p>
    <w:p w14:paraId="5047624D" w14:textId="77777777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75B60DC2" w14:textId="77777777" w:rsidR="004C2BC8" w:rsidRDefault="004C2BC8" w:rsidP="004C2BC8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3E9EC91C" w14:textId="643AB3ED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4C2BC8">
        <w:rPr>
          <w:rFonts w:cs="Arial"/>
          <w:sz w:val="24"/>
          <w:szCs w:val="24"/>
          <w:u w:val="single"/>
        </w:rPr>
        <w:t>Popis:</w:t>
      </w:r>
    </w:p>
    <w:p w14:paraId="5D92F98A" w14:textId="2C867E0F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</w:rPr>
      </w:pPr>
      <w:r w:rsidRPr="004C2BC8">
        <w:rPr>
          <w:rFonts w:cs="Arial"/>
          <w:sz w:val="24"/>
          <w:szCs w:val="24"/>
        </w:rPr>
        <w:t xml:space="preserve"> </w:t>
      </w:r>
    </w:p>
    <w:p w14:paraId="6A7C0D9B" w14:textId="77777777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</w:rPr>
      </w:pPr>
      <w:r w:rsidRPr="004C2BC8">
        <w:rPr>
          <w:rFonts w:cs="Arial"/>
          <w:sz w:val="24"/>
          <w:szCs w:val="24"/>
        </w:rPr>
        <w:t xml:space="preserve">Dvouramenné operační chirurgické svítidlo pro sál </w:t>
      </w:r>
      <w:proofErr w:type="spellStart"/>
      <w:r w:rsidRPr="004C2BC8">
        <w:rPr>
          <w:rFonts w:cs="Arial"/>
          <w:sz w:val="24"/>
          <w:szCs w:val="24"/>
        </w:rPr>
        <w:t>Emergency</w:t>
      </w:r>
      <w:proofErr w:type="spellEnd"/>
      <w:r w:rsidRPr="004C2BC8">
        <w:rPr>
          <w:rFonts w:cs="Arial"/>
          <w:sz w:val="24"/>
          <w:szCs w:val="24"/>
        </w:rPr>
        <w:t xml:space="preserve">, Masarykova nemocnice v Ústí nad Labem, </w:t>
      </w:r>
      <w:proofErr w:type="spellStart"/>
      <w:r w:rsidRPr="004C2BC8">
        <w:rPr>
          <w:rFonts w:cs="Arial"/>
          <w:sz w:val="24"/>
          <w:szCs w:val="24"/>
        </w:rPr>
        <w:t>o.z</w:t>
      </w:r>
      <w:proofErr w:type="spellEnd"/>
      <w:r w:rsidRPr="004C2BC8">
        <w:rPr>
          <w:rFonts w:cs="Arial"/>
          <w:sz w:val="24"/>
          <w:szCs w:val="24"/>
        </w:rPr>
        <w:t>.</w:t>
      </w:r>
    </w:p>
    <w:p w14:paraId="3422D16B" w14:textId="6C9611D5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</w:rPr>
      </w:pPr>
    </w:p>
    <w:p w14:paraId="54371057" w14:textId="77777777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</w:rPr>
      </w:pPr>
    </w:p>
    <w:p w14:paraId="36C8D51B" w14:textId="5F7AAC1A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4C2BC8">
        <w:rPr>
          <w:rFonts w:cs="Arial"/>
          <w:sz w:val="24"/>
          <w:szCs w:val="24"/>
          <w:u w:val="single"/>
        </w:rPr>
        <w:t>Seznam požadovaných položek:</w:t>
      </w:r>
    </w:p>
    <w:p w14:paraId="00293AC4" w14:textId="77777777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3068C52B" w14:textId="77777777" w:rsidR="004C2BC8" w:rsidRDefault="008D6A89" w:rsidP="004C2BC8">
      <w:pPr>
        <w:pStyle w:val="Odstavecseseznamem"/>
        <w:numPr>
          <w:ilvl w:val="0"/>
          <w:numId w:val="4"/>
        </w:numPr>
        <w:tabs>
          <w:tab w:val="left" w:leader="dot" w:pos="1985"/>
        </w:tabs>
        <w:spacing w:after="200" w:line="240" w:lineRule="auto"/>
        <w:jc w:val="both"/>
        <w:rPr>
          <w:rFonts w:cs="Arial"/>
          <w:sz w:val="24"/>
          <w:szCs w:val="24"/>
        </w:rPr>
      </w:pPr>
      <w:r w:rsidRPr="004C2BC8">
        <w:rPr>
          <w:rFonts w:cs="Arial"/>
          <w:sz w:val="24"/>
          <w:szCs w:val="24"/>
        </w:rPr>
        <w:t>1 ks</w:t>
      </w:r>
      <w:r w:rsidRPr="004C2BC8">
        <w:rPr>
          <w:rFonts w:cs="Arial"/>
          <w:sz w:val="24"/>
          <w:szCs w:val="24"/>
        </w:rPr>
        <w:tab/>
        <w:t>Operační světlo</w:t>
      </w:r>
    </w:p>
    <w:p w14:paraId="51A4417A" w14:textId="1A259F9B" w:rsidR="008D6A89" w:rsidRPr="004C2BC8" w:rsidRDefault="008D6A89" w:rsidP="004C2BC8">
      <w:pPr>
        <w:pStyle w:val="Odstavecseseznamem"/>
        <w:tabs>
          <w:tab w:val="left" w:leader="dot" w:pos="1985"/>
        </w:tabs>
        <w:spacing w:line="240" w:lineRule="auto"/>
        <w:contextualSpacing w:val="0"/>
        <w:jc w:val="both"/>
        <w:rPr>
          <w:rFonts w:cs="Arial"/>
          <w:sz w:val="24"/>
          <w:szCs w:val="24"/>
        </w:rPr>
      </w:pPr>
      <w:r w:rsidRPr="004C2BC8">
        <w:rPr>
          <w:rFonts w:cs="Arial"/>
          <w:sz w:val="24"/>
          <w:szCs w:val="24"/>
        </w:rPr>
        <w:t xml:space="preserve"> </w:t>
      </w:r>
    </w:p>
    <w:p w14:paraId="6E4BB989" w14:textId="77777777" w:rsidR="004C2BC8" w:rsidRDefault="004C2BC8" w:rsidP="004C2BC8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2570C8E7" w14:textId="0C7E8F4A" w:rsidR="008D6A89" w:rsidRPr="004C2BC8" w:rsidRDefault="008D6A89" w:rsidP="004C2BC8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4C2BC8">
        <w:rPr>
          <w:rFonts w:cs="Arial"/>
          <w:sz w:val="24"/>
          <w:szCs w:val="24"/>
          <w:u w:val="single"/>
        </w:rPr>
        <w:t>Požadované minimální technické a uživatelské parametry a vlastnosti:</w:t>
      </w:r>
    </w:p>
    <w:p w14:paraId="0B8318F6" w14:textId="77777777" w:rsidR="008D6A89" w:rsidRPr="004C2BC8" w:rsidRDefault="008D6A89" w:rsidP="004C2BC8">
      <w:pPr>
        <w:spacing w:line="240" w:lineRule="auto"/>
        <w:jc w:val="both"/>
        <w:rPr>
          <w:rFonts w:cs="Arial"/>
          <w:sz w:val="28"/>
          <w:u w:val="single"/>
        </w:rPr>
      </w:pPr>
    </w:p>
    <w:p w14:paraId="72D808C0" w14:textId="77777777" w:rsidR="008D6A89" w:rsidRPr="004C2BC8" w:rsidRDefault="008D6A89" w:rsidP="004C2BC8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4C2BC8">
        <w:rPr>
          <w:rFonts w:cs="Arial"/>
          <w:b/>
          <w:sz w:val="20"/>
          <w:szCs w:val="20"/>
        </w:rPr>
        <w:t>Operační světlo</w:t>
      </w:r>
    </w:p>
    <w:p w14:paraId="64D4AED9" w14:textId="77777777" w:rsidR="008D6A89" w:rsidRPr="004C2BC8" w:rsidRDefault="008D6A89" w:rsidP="004C2BC8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4E44B9D6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Operační svítidlo na stropní závěs</w:t>
      </w:r>
    </w:p>
    <w:p w14:paraId="3D9A1C03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Dvojramenná konstrukce závěsu pro dvě svítidla</w:t>
      </w:r>
    </w:p>
    <w:p w14:paraId="5C316DB0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 xml:space="preserve">Zdroj studeného </w:t>
      </w:r>
      <w:proofErr w:type="gramStart"/>
      <w:r w:rsidRPr="004C2BC8">
        <w:rPr>
          <w:rFonts w:cs="Arial"/>
          <w:sz w:val="20"/>
          <w:szCs w:val="20"/>
        </w:rPr>
        <w:t>světla - LED</w:t>
      </w:r>
      <w:proofErr w:type="gramEnd"/>
      <w:r w:rsidRPr="004C2BC8">
        <w:rPr>
          <w:rFonts w:cs="Arial"/>
          <w:sz w:val="20"/>
          <w:szCs w:val="20"/>
        </w:rPr>
        <w:t xml:space="preserve"> diody</w:t>
      </w:r>
    </w:p>
    <w:p w14:paraId="6F49E787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Hlavní svítidlo:</w:t>
      </w:r>
    </w:p>
    <w:p w14:paraId="01442A25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Nejvyšší intenzita osvětlení (</w:t>
      </w:r>
      <w:proofErr w:type="spellStart"/>
      <w:r w:rsidRPr="004C2BC8">
        <w:rPr>
          <w:rFonts w:cs="Arial"/>
          <w:sz w:val="20"/>
          <w:szCs w:val="20"/>
        </w:rPr>
        <w:t>Ec</w:t>
      </w:r>
      <w:proofErr w:type="spellEnd"/>
      <w:r w:rsidRPr="004C2BC8">
        <w:rPr>
          <w:rFonts w:cs="Arial"/>
          <w:sz w:val="20"/>
          <w:szCs w:val="20"/>
        </w:rPr>
        <w:t xml:space="preserve">) ve vzdálenosti </w:t>
      </w:r>
      <w:proofErr w:type="gramStart"/>
      <w:r w:rsidRPr="004C2BC8">
        <w:rPr>
          <w:rFonts w:cs="Arial"/>
          <w:sz w:val="20"/>
          <w:szCs w:val="20"/>
        </w:rPr>
        <w:t>1m</w:t>
      </w:r>
      <w:proofErr w:type="gramEnd"/>
      <w:r w:rsidRPr="004C2BC8">
        <w:rPr>
          <w:rFonts w:cs="Arial"/>
          <w:sz w:val="20"/>
          <w:szCs w:val="20"/>
        </w:rPr>
        <w:t xml:space="preserve"> minimálně 100 000 lux</w:t>
      </w:r>
    </w:p>
    <w:p w14:paraId="2F1189E9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Průměr osvětleného pole minimálně 18 cm</w:t>
      </w:r>
    </w:p>
    <w:p w14:paraId="4EE47986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 xml:space="preserve">Rozměr korpusu hlavy svítidla musí být průměr maximálně 57 cm, u nekruhových tvarů bez úplného vyplnění plochy kružnice je uvažován rozměr opsané kružnice k půdorysu hlavy svítidla </w:t>
      </w:r>
    </w:p>
    <w:p w14:paraId="2E16F2C5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Satelitní svítidlo:</w:t>
      </w:r>
    </w:p>
    <w:p w14:paraId="416C2CB5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Nejvyšší intenzita osvětlení (</w:t>
      </w:r>
      <w:proofErr w:type="spellStart"/>
      <w:r w:rsidRPr="004C2BC8">
        <w:rPr>
          <w:rFonts w:cs="Arial"/>
          <w:sz w:val="20"/>
          <w:szCs w:val="20"/>
        </w:rPr>
        <w:t>Ec</w:t>
      </w:r>
      <w:proofErr w:type="spellEnd"/>
      <w:r w:rsidRPr="004C2BC8">
        <w:rPr>
          <w:rFonts w:cs="Arial"/>
          <w:sz w:val="20"/>
          <w:szCs w:val="20"/>
        </w:rPr>
        <w:t xml:space="preserve">) ve vzdálenosti </w:t>
      </w:r>
      <w:proofErr w:type="gramStart"/>
      <w:r w:rsidRPr="004C2BC8">
        <w:rPr>
          <w:rFonts w:cs="Arial"/>
          <w:sz w:val="20"/>
          <w:szCs w:val="20"/>
        </w:rPr>
        <w:t>1m</w:t>
      </w:r>
      <w:proofErr w:type="gramEnd"/>
      <w:r w:rsidRPr="004C2BC8">
        <w:rPr>
          <w:rFonts w:cs="Arial"/>
          <w:sz w:val="20"/>
          <w:szCs w:val="20"/>
        </w:rPr>
        <w:t xml:space="preserve"> minimálně 100 000 lux</w:t>
      </w:r>
    </w:p>
    <w:p w14:paraId="6DFBFDFB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Průměr osvětleného pole minimálně 18 cm</w:t>
      </w:r>
    </w:p>
    <w:p w14:paraId="774B8B67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 xml:space="preserve">Rozměr korpusu hlavy svítidla musí být průměr maximálně 57 cm, u nekruhových tvarů bez úplného vyplnění plochy kružnice je uvažován rozměr opsané kružnice k půdorysu hlavy svítidla </w:t>
      </w:r>
    </w:p>
    <w:p w14:paraId="282FED20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 xml:space="preserve">Nastavení intenzity minimálně v 5 krocích v rozsahu alespoň od </w:t>
      </w:r>
      <w:proofErr w:type="gramStart"/>
      <w:r w:rsidRPr="004C2BC8">
        <w:rPr>
          <w:rFonts w:cs="Arial"/>
          <w:sz w:val="20"/>
          <w:szCs w:val="20"/>
        </w:rPr>
        <w:t>50%</w:t>
      </w:r>
      <w:proofErr w:type="gramEnd"/>
      <w:r w:rsidRPr="004C2BC8">
        <w:rPr>
          <w:rFonts w:cs="Arial"/>
          <w:sz w:val="20"/>
          <w:szCs w:val="20"/>
        </w:rPr>
        <w:t xml:space="preserve"> do 100%</w:t>
      </w:r>
    </w:p>
    <w:p w14:paraId="51A89E18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Ovládání základních parametrů pomocí nesterilních prvků na hlavě svítidla a pomocí rukojeti ze sterilního pole</w:t>
      </w:r>
    </w:p>
    <w:p w14:paraId="4CC5E4C5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Mód endoskopického (ambientního) osvětlení</w:t>
      </w:r>
    </w:p>
    <w:p w14:paraId="5EE6428A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Celkové vyzařování (</w:t>
      </w:r>
      <w:proofErr w:type="spellStart"/>
      <w:r w:rsidRPr="004C2BC8">
        <w:rPr>
          <w:rFonts w:cs="Arial"/>
          <w:sz w:val="20"/>
          <w:szCs w:val="20"/>
        </w:rPr>
        <w:t>Ee</w:t>
      </w:r>
      <w:proofErr w:type="spellEnd"/>
      <w:r w:rsidRPr="004C2BC8">
        <w:rPr>
          <w:rFonts w:cs="Arial"/>
          <w:sz w:val="20"/>
          <w:szCs w:val="20"/>
        </w:rPr>
        <w:t>) každého svítidla maximálně 560 W/m2</w:t>
      </w:r>
    </w:p>
    <w:p w14:paraId="42939454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 xml:space="preserve">Index podání barev </w:t>
      </w:r>
      <w:proofErr w:type="spellStart"/>
      <w:r w:rsidRPr="004C2BC8">
        <w:rPr>
          <w:rFonts w:cs="Arial"/>
          <w:sz w:val="20"/>
          <w:szCs w:val="20"/>
        </w:rPr>
        <w:t>Ra</w:t>
      </w:r>
      <w:proofErr w:type="spellEnd"/>
      <w:r w:rsidRPr="004C2BC8">
        <w:rPr>
          <w:rFonts w:cs="Arial"/>
          <w:sz w:val="20"/>
          <w:szCs w:val="20"/>
        </w:rPr>
        <w:t xml:space="preserve"> minimálně 95</w:t>
      </w:r>
    </w:p>
    <w:p w14:paraId="32AE3F72" w14:textId="77777777" w:rsidR="008D6A89" w:rsidRPr="004C2BC8" w:rsidRDefault="008D6A89" w:rsidP="004C2BC8">
      <w:pPr>
        <w:pStyle w:val="Odstavecseseznamem"/>
        <w:numPr>
          <w:ilvl w:val="0"/>
          <w:numId w:val="3"/>
        </w:numPr>
        <w:spacing w:after="20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Kompatibilita s laminárním prouděním vzduchu, tj. stupeň vzniku turbulentního proudění maximálně 37,5%</w:t>
      </w:r>
    </w:p>
    <w:p w14:paraId="61C4C597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 xml:space="preserve">Minimálně 2 </w:t>
      </w:r>
      <w:proofErr w:type="spellStart"/>
      <w:r w:rsidRPr="004C2BC8">
        <w:rPr>
          <w:rFonts w:cs="Arial"/>
          <w:sz w:val="20"/>
          <w:szCs w:val="20"/>
        </w:rPr>
        <w:t>sterilizovatelné</w:t>
      </w:r>
      <w:proofErr w:type="spellEnd"/>
      <w:r w:rsidRPr="004C2BC8">
        <w:rPr>
          <w:rFonts w:cs="Arial"/>
          <w:sz w:val="20"/>
          <w:szCs w:val="20"/>
        </w:rPr>
        <w:t xml:space="preserve"> manipulační rukojeti pro každý satelit</w:t>
      </w:r>
    </w:p>
    <w:p w14:paraId="54DD0F24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Životnosti LED zdrojů minimálně 60 000 hodin</w:t>
      </w:r>
    </w:p>
    <w:p w14:paraId="3F9AB763" w14:textId="6B0E82A5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Klouby ramen otočné kolem osy otáčení bez koncových dorazů</w:t>
      </w:r>
    </w:p>
    <w:p w14:paraId="2D7A2C9B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lastRenderedPageBreak/>
        <w:t>Vysoká kvalita dílenského zpracování:</w:t>
      </w:r>
    </w:p>
    <w:p w14:paraId="430DEF67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Použité materiály nepodléhající korozivním účinkům</w:t>
      </w:r>
    </w:p>
    <w:p w14:paraId="08A62BFF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Dílce bez tzv. nálitků (např. výrobní přebytky či ostré nebo neopracované hrany)</w:t>
      </w:r>
    </w:p>
    <w:p w14:paraId="69F2867D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Použité plastové materiály bez barevných změn a nepodléhající křehnutí vlivem UV záření nebo stáří</w:t>
      </w:r>
    </w:p>
    <w:p w14:paraId="181E53BC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Spoje dílců bez vůlí, nesoudržnosti anebo deformace při ručním uchopení</w:t>
      </w:r>
    </w:p>
    <w:p w14:paraId="5E7F2378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Veškerý pohyb ramen bez akustických projevů (např. vlivem tření, volnosti spojů a jiné)</w:t>
      </w:r>
    </w:p>
    <w:p w14:paraId="4E809A12" w14:textId="77777777" w:rsidR="008D6A89" w:rsidRPr="004C2BC8" w:rsidRDefault="008D6A89" w:rsidP="004C2BC8">
      <w:pPr>
        <w:suppressAutoHyphens/>
        <w:spacing w:after="120" w:line="240" w:lineRule="auto"/>
        <w:ind w:left="720"/>
        <w:jc w:val="both"/>
        <w:rPr>
          <w:rFonts w:cs="Arial"/>
          <w:sz w:val="20"/>
          <w:szCs w:val="20"/>
        </w:rPr>
      </w:pPr>
    </w:p>
    <w:p w14:paraId="36A37876" w14:textId="77777777" w:rsidR="008D6A89" w:rsidRPr="004C2BC8" w:rsidRDefault="008D6A89" w:rsidP="004C2BC8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38510B21" w14:textId="77777777" w:rsidR="008D6A89" w:rsidRPr="004C2BC8" w:rsidRDefault="008D6A89" w:rsidP="004C2BC8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  <w:r w:rsidRPr="004C2BC8">
        <w:rPr>
          <w:rFonts w:cs="Arial"/>
          <w:b/>
          <w:bCs/>
          <w:sz w:val="20"/>
          <w:szCs w:val="20"/>
        </w:rPr>
        <w:t>Stavební a montážní podmínky:</w:t>
      </w:r>
    </w:p>
    <w:p w14:paraId="1824B6AD" w14:textId="77777777" w:rsidR="008D6A89" w:rsidRPr="004C2BC8" w:rsidRDefault="008D6A89" w:rsidP="004C2BC8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5380BB7A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Zadavatel požaduje v rámci plnění VZ demontovat a ekologicky zlikvidovat stávající přístroj včetně vystavení protokolů o této likvidaci</w:t>
      </w:r>
    </w:p>
    <w:p w14:paraId="0CA50CBE" w14:textId="791EE835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V rámci optimalizace nákladů spojených s obnovou pracoviště je možné využít stávající instalované technologie či rozvody energií – jejich parametry bude mít uchazeč možnost ověřit na místě instalace ZT v</w:t>
      </w:r>
      <w:r w:rsidR="004C2BC8">
        <w:rPr>
          <w:rFonts w:cs="Arial"/>
          <w:sz w:val="20"/>
          <w:szCs w:val="20"/>
        </w:rPr>
        <w:t> </w:t>
      </w:r>
      <w:r w:rsidRPr="004C2BC8">
        <w:rPr>
          <w:rFonts w:cs="Arial"/>
          <w:sz w:val="20"/>
          <w:szCs w:val="20"/>
        </w:rPr>
        <w:t>rámci prohlídky (pokud uchazeč využije stávající vybavení, budou se na něj vztahovat záruční podmínky jako na zařízení nové, a to v plném rozsahu)</w:t>
      </w:r>
    </w:p>
    <w:p w14:paraId="32E68B33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Součástí dodávky musí být dodání a instalace elektrického rozvaděče (pokud je technologií vyžadován), dodávka kotvících komponent či úpravu stávajících a dalšího spotřebního a instalačního materiálu, zakrytí a začištění otvorů po původním technickém řešení</w:t>
      </w:r>
    </w:p>
    <w:p w14:paraId="5176E384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59031D70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Pro účastníky zde uvádíme základní měrné údaje a orientační fotodokumentaci vztahující se k instalaci stávajících svítidel. V případě potřeby znalosti jiných měrných údajů než dále uvedených, budou mít účastníci možnost si tyto individuálně zjistit v průběhu prohlídky místa plnění a zadavatel nebude na základě dodatečných dotazů další měření provádět.</w:t>
      </w:r>
    </w:p>
    <w:p w14:paraId="678D2D66" w14:textId="77777777" w:rsidR="008D6A89" w:rsidRPr="004C2BC8" w:rsidRDefault="008D6A89" w:rsidP="004C2BC8">
      <w:pPr>
        <w:suppressAutoHyphens/>
        <w:spacing w:after="120" w:line="240" w:lineRule="auto"/>
        <w:ind w:left="360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Rozměry v místě ukotvení stávajících svítidel:</w:t>
      </w:r>
    </w:p>
    <w:p w14:paraId="2E13887C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Zákrokový sál</w:t>
      </w:r>
    </w:p>
    <w:p w14:paraId="3E67BC23" w14:textId="77777777" w:rsidR="008D6A89" w:rsidRPr="004C2BC8" w:rsidRDefault="008D6A89" w:rsidP="004C2BC8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Výška sádrokartonového podhledu 298 cm</w:t>
      </w:r>
    </w:p>
    <w:p w14:paraId="2CA9624F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792D3122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55C2EDA5" w14:textId="17E68BAC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02891690" w14:textId="603333F4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275D06D7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3223BC5E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b/>
          <w:bCs/>
          <w:sz w:val="20"/>
          <w:szCs w:val="20"/>
        </w:rPr>
      </w:pPr>
      <w:r w:rsidRPr="004C2BC8">
        <w:rPr>
          <w:rFonts w:cs="Arial"/>
          <w:b/>
          <w:bCs/>
          <w:sz w:val="20"/>
          <w:szCs w:val="20"/>
        </w:rPr>
        <w:t>Fotodokumentace:</w:t>
      </w:r>
    </w:p>
    <w:p w14:paraId="1FFE2B6E" w14:textId="77777777" w:rsidR="008D6A89" w:rsidRPr="004C2BC8" w:rsidRDefault="008D6A89" w:rsidP="004C2BC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 xml:space="preserve">Zákrokový sál </w:t>
      </w:r>
    </w:p>
    <w:p w14:paraId="74D4E729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sz w:val="20"/>
          <w:szCs w:val="20"/>
        </w:rPr>
        <w:t>(… další stránky…)</w:t>
      </w:r>
    </w:p>
    <w:p w14:paraId="26B505AF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09A7D2BC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064C26B4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327587E8" w14:textId="77777777" w:rsidR="008D6A89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2545E428" wp14:editId="054E9539">
            <wp:extent cx="5753100" cy="43148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DC252" w14:textId="6E85D1B4" w:rsidR="00932EB1" w:rsidRPr="004C2BC8" w:rsidRDefault="008D6A89" w:rsidP="004C2BC8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C2BC8">
        <w:rPr>
          <w:rFonts w:cs="Arial"/>
          <w:noProof/>
          <w:sz w:val="20"/>
          <w:szCs w:val="20"/>
        </w:rPr>
        <w:drawing>
          <wp:inline distT="0" distB="0" distL="0" distR="0" wp14:anchorId="32BF5225" wp14:editId="70BF363F">
            <wp:extent cx="4991100" cy="3743325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497" cy="3745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2EB1" w:rsidRPr="004C2BC8" w:rsidSect="008D6A89">
      <w:headerReference w:type="default" r:id="rId10"/>
      <w:footerReference w:type="default" r:id="rId11"/>
      <w:pgSz w:w="11906" w:h="16838"/>
      <w:pgMar w:top="2410" w:right="849" w:bottom="15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5FD8E" w14:textId="77777777" w:rsidR="00C65F68" w:rsidRDefault="00C65F68" w:rsidP="004A044C">
      <w:pPr>
        <w:spacing w:line="240" w:lineRule="auto"/>
      </w:pPr>
      <w:r>
        <w:separator/>
      </w:r>
    </w:p>
  </w:endnote>
  <w:endnote w:type="continuationSeparator" w:id="0">
    <w:p w14:paraId="592C0B8A" w14:textId="77777777" w:rsidR="00C65F68" w:rsidRDefault="00C65F68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1CB7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EDCA39" wp14:editId="4E73BC2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4427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4C76C8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19C77C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EDCA3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A94427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4C76C8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19C77C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052C82" wp14:editId="66894DFE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81F027" wp14:editId="5FE6CAB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7F9F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1CFD7E1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43DB9193" w14:textId="77777777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C81F027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30B7F9F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CFD7E1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43DB9193" w14:textId="77777777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and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3FB409F" wp14:editId="48EAD673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9EE43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DA63F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3DD676D0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FB409F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29EE43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DA63F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3DD676D0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31C693" wp14:editId="349BFC93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F3560F4" wp14:editId="1DD54A6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3E3B" w14:textId="77777777" w:rsidR="00C65F68" w:rsidRDefault="00C65F68" w:rsidP="004A044C">
      <w:pPr>
        <w:spacing w:line="240" w:lineRule="auto"/>
      </w:pPr>
      <w:r>
        <w:separator/>
      </w:r>
    </w:p>
  </w:footnote>
  <w:footnote w:type="continuationSeparator" w:id="0">
    <w:p w14:paraId="5B63E16F" w14:textId="77777777" w:rsidR="00C65F68" w:rsidRDefault="00C65F68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1B32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3A1F56F1" wp14:editId="5F573CA8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29" name="Obrázek 29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0BEE275" wp14:editId="26026BC9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2BC8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7904E3"/>
    <w:rsid w:val="00824631"/>
    <w:rsid w:val="008650CD"/>
    <w:rsid w:val="008D6A89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C070C0"/>
    <w:rsid w:val="00C207E1"/>
    <w:rsid w:val="00C26BA0"/>
    <w:rsid w:val="00C65F68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3662E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8D6A89"/>
    <w:rPr>
      <w:rFonts w:ascii="Arial" w:hAnsi="Arial"/>
      <w:sz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5</TotalTime>
  <Pages>3</Pages>
  <Words>491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David Jakub</cp:lastModifiedBy>
  <cp:revision>3</cp:revision>
  <cp:lastPrinted>2025-02-20T13:28:00Z</cp:lastPrinted>
  <dcterms:created xsi:type="dcterms:W3CDTF">2025-05-27T11:58:00Z</dcterms:created>
  <dcterms:modified xsi:type="dcterms:W3CDTF">2025-05-27T12:16:00Z</dcterms:modified>
</cp:coreProperties>
</file>