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1721A" w14:textId="77777777" w:rsidR="00CC62E1" w:rsidRPr="00B53267" w:rsidRDefault="00CC62E1" w:rsidP="007F2B8C">
      <w:pPr>
        <w:pStyle w:val="Nadpis2"/>
        <w:numPr>
          <w:ilvl w:val="0"/>
          <w:numId w:val="0"/>
        </w:numPr>
      </w:pPr>
      <w:bookmarkStart w:id="0" w:name="_Toc144730591"/>
      <w:bookmarkStart w:id="1" w:name="_Toc191037448"/>
      <w:r w:rsidRPr="00B53267">
        <w:t>M</w:t>
      </w:r>
      <w:bookmarkEnd w:id="0"/>
      <w:r>
        <w:t>onitorování skladových podmínek léčivých přípravků, zdravotnických prostředků a materiálu</w:t>
      </w:r>
      <w:bookmarkEnd w:id="1"/>
    </w:p>
    <w:p w14:paraId="09E581CC" w14:textId="77777777" w:rsidR="007F2B8C" w:rsidRDefault="007F2B8C" w:rsidP="00CC62E1">
      <w:pPr>
        <w:pStyle w:val="text"/>
      </w:pPr>
    </w:p>
    <w:p w14:paraId="0733393F" w14:textId="008F05FE" w:rsidR="00CC62E1" w:rsidRDefault="00CC62E1" w:rsidP="00CC62E1">
      <w:pPr>
        <w:pStyle w:val="text"/>
      </w:pPr>
      <w:r w:rsidRPr="00793F99">
        <w:t xml:space="preserve">V rámci společnosti KZ je provozován Centrální systém kontinuálního měření fyzikálních veličin (teploty, vlhkosti aj.), který je zaměřen na monitorování skladových podmínek </w:t>
      </w:r>
      <w:r>
        <w:t xml:space="preserve">léčivých přípravků, zdravotnických prostředků a </w:t>
      </w:r>
      <w:r w:rsidRPr="00793F99">
        <w:t xml:space="preserve">materiálu, kdy všechna data jsou propojena s monitorovacím systémem </w:t>
      </w:r>
      <w:proofErr w:type="spellStart"/>
      <w:r w:rsidRPr="00793F99">
        <w:t>Falcon</w:t>
      </w:r>
      <w:proofErr w:type="spellEnd"/>
      <w:r w:rsidRPr="00793F99">
        <w:t xml:space="preserve"> od firmy KESA. s. r. o. </w:t>
      </w:r>
    </w:p>
    <w:p w14:paraId="5327EBA5" w14:textId="77777777" w:rsidR="00CC62E1" w:rsidRDefault="00CC62E1" w:rsidP="00CC62E1">
      <w:pPr>
        <w:pStyle w:val="text"/>
      </w:pPr>
      <w:r w:rsidRPr="00793F99">
        <w:t>Veškeré prostory, ve kterých jsou skladovány nebo používány léči</w:t>
      </w:r>
      <w:r>
        <w:t>vé přípravky,</w:t>
      </w:r>
      <w:r w:rsidRPr="00793F99">
        <w:t xml:space="preserve"> zdravotnick</w:t>
      </w:r>
      <w:r>
        <w:t>é prostředky a</w:t>
      </w:r>
      <w:r w:rsidRPr="00793F99">
        <w:t xml:space="preserve"> materiál, musí být napojeny na tento systém podle níže uvedených platných právních předpisů, včetně znění pozdějších předpisů, a aktuálních pokynů SÚKL:</w:t>
      </w:r>
    </w:p>
    <w:p w14:paraId="3D87F6E7" w14:textId="77777777" w:rsidR="00CC62E1" w:rsidRPr="00793F99" w:rsidRDefault="00CC62E1" w:rsidP="00CC62E1">
      <w:pPr>
        <w:pStyle w:val="text"/>
        <w:rPr>
          <w:rFonts w:eastAsia="Calibri"/>
        </w:rPr>
      </w:pPr>
    </w:p>
    <w:p w14:paraId="2417CD38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Zákona č. 372/2011 Sb.</w:t>
      </w:r>
      <w:r>
        <w:t>,</w:t>
      </w:r>
      <w:r w:rsidRPr="00793F99">
        <w:t xml:space="preserve"> o zdravotních službách</w:t>
      </w:r>
    </w:p>
    <w:p w14:paraId="402893E4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Zákona č. 373/2011 Sb</w:t>
      </w:r>
      <w:r>
        <w:t>.,</w:t>
      </w:r>
      <w:r w:rsidRPr="00793F99">
        <w:t xml:space="preserve"> o specifických zdravotních službách</w:t>
      </w:r>
    </w:p>
    <w:p w14:paraId="6FBE74A8" w14:textId="77777777" w:rsidR="00CC62E1" w:rsidRDefault="00CC62E1" w:rsidP="00CC62E1">
      <w:pPr>
        <w:pStyle w:val="text"/>
        <w:numPr>
          <w:ilvl w:val="0"/>
          <w:numId w:val="2"/>
        </w:numPr>
      </w:pPr>
      <w:r w:rsidRPr="00793F99">
        <w:t>Zákon č. 375/2022 Sb., o zdravotnických prostředcích a diagnostických prostředcích in vitro</w:t>
      </w:r>
    </w:p>
    <w:p w14:paraId="788E4145" w14:textId="77777777" w:rsidR="00CC62E1" w:rsidRDefault="00CC62E1" w:rsidP="00CC62E1">
      <w:pPr>
        <w:pStyle w:val="text"/>
        <w:numPr>
          <w:ilvl w:val="0"/>
          <w:numId w:val="2"/>
        </w:numPr>
      </w:pPr>
      <w:r w:rsidRPr="00793F99">
        <w:t xml:space="preserve">Zákon č. 378/2007 Sb., o léčivech a o změnách některých souvisejících zákonů, ve znění pozdějších předpisů </w:t>
      </w:r>
    </w:p>
    <w:p w14:paraId="046AF82B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Zákon č.</w:t>
      </w:r>
      <w:r>
        <w:t xml:space="preserve"> </w:t>
      </w:r>
      <w:r w:rsidRPr="00793F99">
        <w:t>505/1990 Sb.</w:t>
      </w:r>
      <w:r>
        <w:t>,</w:t>
      </w:r>
      <w:r w:rsidRPr="00793F99">
        <w:t xml:space="preserve"> o metrologii</w:t>
      </w:r>
    </w:p>
    <w:p w14:paraId="16BF4617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Pokyn SÚKL – DIS-15 verze 4 – Sledování a kontrola teploty při skladování a přepravě léčiv</w:t>
      </w:r>
    </w:p>
    <w:p w14:paraId="42F0AA3C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Vyhláška č. 377/2022 Sb. o provedení některých ustanovení zákona o zdravotnických prostředcích a diagnostických zdravotnických prostředcích in vitro</w:t>
      </w:r>
    </w:p>
    <w:p w14:paraId="25BF9D62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Vyhláška č. 84/2008 Sb. o správné lékárenské praxi, bližších podmínkách zacházení s léčivy v lékárnách, zdravotnických zařízeních a u dalších provozovatelů a zařízení vydávajících léčivé přípravky, ve znění pozdějších předpisů</w:t>
      </w:r>
    </w:p>
    <w:p w14:paraId="43058D6C" w14:textId="77777777" w:rsidR="00CC62E1" w:rsidRPr="00793F99" w:rsidRDefault="00CC62E1" w:rsidP="00CC62E1">
      <w:pPr>
        <w:pStyle w:val="text"/>
        <w:numPr>
          <w:ilvl w:val="0"/>
          <w:numId w:val="2"/>
        </w:numPr>
      </w:pPr>
      <w:r w:rsidRPr="00793F99">
        <w:t>Vyhláška 143/2008 Sb. o stanovení bližších požadavků pro zajištění jakosti a bezpečnosti lidské krve a jejích složek (vyhláška o lidské krvi) ve znění pozdější předpisů</w:t>
      </w:r>
    </w:p>
    <w:p w14:paraId="21A5C1F3" w14:textId="77777777" w:rsidR="007C1569" w:rsidRDefault="007C1569"/>
    <w:sectPr w:rsidR="007C1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E040BB"/>
    <w:multiLevelType w:val="hybridMultilevel"/>
    <w:tmpl w:val="F710B5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A41BF"/>
    <w:multiLevelType w:val="multilevel"/>
    <w:tmpl w:val="16B46AD0"/>
    <w:lvl w:ilvl="0">
      <w:start w:val="1"/>
      <w:numFmt w:val="decimal"/>
      <w:pStyle w:val="Nadpis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2E1"/>
    <w:rsid w:val="007C1569"/>
    <w:rsid w:val="007F2B8C"/>
    <w:rsid w:val="00CC6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4C2B"/>
  <w15:chartTrackingRefBased/>
  <w15:docId w15:val="{2CC21099-6F83-4EB5-928E-4DA4B06FC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text"/>
    <w:link w:val="Nadpis1Char"/>
    <w:qFormat/>
    <w:rsid w:val="00CC62E1"/>
    <w:pPr>
      <w:keepNext/>
      <w:numPr>
        <w:numId w:val="1"/>
      </w:numPr>
      <w:tabs>
        <w:tab w:val="clear" w:pos="432"/>
      </w:tabs>
      <w:spacing w:before="240" w:after="120" w:line="240" w:lineRule="auto"/>
      <w:ind w:left="0" w:firstLine="0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paragraph" w:styleId="Nadpis2">
    <w:name w:val="heading 2"/>
    <w:basedOn w:val="Normln"/>
    <w:next w:val="text"/>
    <w:link w:val="Nadpis2Char"/>
    <w:qFormat/>
    <w:rsid w:val="00CC62E1"/>
    <w:pPr>
      <w:keepNext/>
      <w:numPr>
        <w:ilvl w:val="1"/>
        <w:numId w:val="1"/>
      </w:numPr>
      <w:spacing w:before="120" w:after="120" w:line="240" w:lineRule="auto"/>
      <w:outlineLvl w:val="1"/>
    </w:pPr>
    <w:rPr>
      <w:rFonts w:ascii="Arial" w:eastAsia="Times New Roman" w:hAnsi="Arial" w:cs="Arial"/>
      <w:b/>
      <w:bCs/>
      <w:iCs/>
      <w:sz w:val="26"/>
      <w:szCs w:val="28"/>
      <w:lang w:eastAsia="cs-CZ"/>
    </w:rPr>
  </w:style>
  <w:style w:type="paragraph" w:styleId="Nadpis3">
    <w:name w:val="heading 3"/>
    <w:basedOn w:val="Normln"/>
    <w:next w:val="text"/>
    <w:link w:val="Nadpis3Char"/>
    <w:qFormat/>
    <w:rsid w:val="00CC62E1"/>
    <w:pPr>
      <w:keepNext/>
      <w:numPr>
        <w:ilvl w:val="2"/>
        <w:numId w:val="1"/>
      </w:numPr>
      <w:spacing w:before="120" w:after="120" w:line="240" w:lineRule="auto"/>
      <w:ind w:left="0" w:firstLine="0"/>
      <w:outlineLvl w:val="2"/>
    </w:pPr>
    <w:rPr>
      <w:rFonts w:ascii="Arial" w:eastAsia="Times New Roman" w:hAnsi="Arial" w:cs="Times New Roman"/>
      <w:b/>
      <w:sz w:val="24"/>
      <w:szCs w:val="20"/>
      <w:lang w:eastAsia="cs-CZ"/>
    </w:rPr>
  </w:style>
  <w:style w:type="paragraph" w:styleId="Nadpis4">
    <w:name w:val="heading 4"/>
    <w:basedOn w:val="Normln"/>
    <w:next w:val="text"/>
    <w:link w:val="Nadpis4Char"/>
    <w:qFormat/>
    <w:rsid w:val="00CC62E1"/>
    <w:pPr>
      <w:keepNext/>
      <w:numPr>
        <w:ilvl w:val="3"/>
        <w:numId w:val="1"/>
      </w:numPr>
      <w:tabs>
        <w:tab w:val="clear" w:pos="864"/>
      </w:tabs>
      <w:spacing w:before="120" w:after="120" w:line="240" w:lineRule="auto"/>
      <w:ind w:left="0" w:firstLine="0"/>
      <w:outlineLvl w:val="3"/>
    </w:pPr>
    <w:rPr>
      <w:rFonts w:ascii="Arial" w:eastAsia="Times New Roman" w:hAnsi="Arial" w:cs="Times New Roman"/>
      <w:b/>
      <w:bCs/>
      <w:szCs w:val="28"/>
      <w:lang w:eastAsia="cs-CZ"/>
    </w:rPr>
  </w:style>
  <w:style w:type="paragraph" w:styleId="Nadpis5">
    <w:name w:val="heading 5"/>
    <w:aliases w:val="Char"/>
    <w:basedOn w:val="Normln"/>
    <w:next w:val="text"/>
    <w:link w:val="Nadpis5Char"/>
    <w:qFormat/>
    <w:rsid w:val="00CC62E1"/>
    <w:pPr>
      <w:numPr>
        <w:ilvl w:val="4"/>
        <w:numId w:val="1"/>
      </w:numPr>
      <w:spacing w:before="240" w:after="60" w:line="240" w:lineRule="auto"/>
      <w:outlineLvl w:val="4"/>
    </w:pPr>
    <w:rPr>
      <w:rFonts w:ascii="Tahoma" w:eastAsia="Times New Roman" w:hAnsi="Tahoma" w:cs="Times New Roman"/>
      <w:b/>
      <w:bCs/>
      <w:iCs/>
      <w:sz w:val="20"/>
      <w:szCs w:val="2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62E1"/>
    <w:rPr>
      <w:rFonts w:ascii="Arial" w:eastAsia="Times New Roman" w:hAnsi="Arial" w:cs="Arial"/>
      <w:b/>
      <w:bCs/>
      <w:kern w:val="32"/>
      <w:sz w:val="28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CC62E1"/>
    <w:rPr>
      <w:rFonts w:ascii="Arial" w:eastAsia="Times New Roman" w:hAnsi="Arial" w:cs="Arial"/>
      <w:b/>
      <w:bCs/>
      <w:iCs/>
      <w:sz w:val="26"/>
      <w:szCs w:val="28"/>
      <w:lang w:eastAsia="cs-CZ"/>
    </w:rPr>
  </w:style>
  <w:style w:type="character" w:customStyle="1" w:styleId="Nadpis3Char">
    <w:name w:val="Nadpis 3 Char"/>
    <w:basedOn w:val="Standardnpsmoodstavce"/>
    <w:link w:val="Nadpis3"/>
    <w:rsid w:val="00CC62E1"/>
    <w:rPr>
      <w:rFonts w:ascii="Arial" w:eastAsia="Times New Roman" w:hAnsi="Arial" w:cs="Times New Roman"/>
      <w:b/>
      <w:sz w:val="24"/>
      <w:szCs w:val="20"/>
      <w:lang w:eastAsia="cs-CZ"/>
    </w:rPr>
  </w:style>
  <w:style w:type="character" w:customStyle="1" w:styleId="Nadpis4Char">
    <w:name w:val="Nadpis 4 Char"/>
    <w:basedOn w:val="Standardnpsmoodstavce"/>
    <w:link w:val="Nadpis4"/>
    <w:rsid w:val="00CC62E1"/>
    <w:rPr>
      <w:rFonts w:ascii="Arial" w:eastAsia="Times New Roman" w:hAnsi="Arial" w:cs="Times New Roman"/>
      <w:b/>
      <w:bCs/>
      <w:szCs w:val="28"/>
      <w:lang w:eastAsia="cs-CZ"/>
    </w:rPr>
  </w:style>
  <w:style w:type="character" w:customStyle="1" w:styleId="Nadpis5Char">
    <w:name w:val="Nadpis 5 Char"/>
    <w:aliases w:val="Char Char"/>
    <w:basedOn w:val="Standardnpsmoodstavce"/>
    <w:link w:val="Nadpis5"/>
    <w:rsid w:val="00CC62E1"/>
    <w:rPr>
      <w:rFonts w:ascii="Tahoma" w:eastAsia="Times New Roman" w:hAnsi="Tahoma" w:cs="Times New Roman"/>
      <w:b/>
      <w:bCs/>
      <w:iCs/>
      <w:sz w:val="20"/>
      <w:szCs w:val="26"/>
      <w:lang w:eastAsia="cs-CZ"/>
    </w:rPr>
  </w:style>
  <w:style w:type="paragraph" w:customStyle="1" w:styleId="text">
    <w:name w:val="text"/>
    <w:basedOn w:val="Normln"/>
    <w:link w:val="textChar"/>
    <w:uiPriority w:val="99"/>
    <w:rsid w:val="00CC62E1"/>
    <w:pPr>
      <w:spacing w:before="60" w:after="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Char">
    <w:name w:val="text Char"/>
    <w:link w:val="text"/>
    <w:uiPriority w:val="99"/>
    <w:locked/>
    <w:rsid w:val="00CC62E1"/>
    <w:rPr>
      <w:rFonts w:ascii="Arial" w:eastAsia="Times New Roman" w:hAnsi="Arial" w:cs="Times New Roman"/>
      <w:sz w:val="20"/>
      <w:szCs w:val="20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CC62E1"/>
    <w:pPr>
      <w:spacing w:before="120" w:after="120" w:line="240" w:lineRule="auto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CC62E1"/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uiPriority w:val="99"/>
    <w:semiHidden/>
    <w:unhideWhenUsed/>
    <w:rsid w:val="00CC62E1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239</Words>
  <Characters>1412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Nelibová Dagmar</dc:creator>
  <cp:keywords/>
  <dc:description/>
  <cp:lastModifiedBy>Nelibová Dagmar</cp:lastModifiedBy>
  <cp:revision>2</cp:revision>
  <dcterms:created xsi:type="dcterms:W3CDTF">2025-02-27T08:01:00Z</dcterms:created>
  <dcterms:modified xsi:type="dcterms:W3CDTF">2025-02-27T08:08:00Z</dcterms:modified>
</cp:coreProperties>
</file>