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numPr>
          <w:ilvl w:val="0"/>
          <w:numId w:val="2"/>
        </w:numPr>
        <w:tabs>
          <w:tab w:val="left" w:pos="363"/>
        </w:tabs>
        <w:ind w:left="363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Povinný má zájem o zpřístupnění následujících informací – požadavků na provedení a kvalitu ICT a projektové dokumentace v rámci veřejné zakázky „</w:t>
      </w:r>
      <w:r>
        <w:rPr>
          <w:rFonts w:ascii="Arial" w:eastAsia="Arial" w:hAnsi="Arial" w:cs="Arial"/>
          <w:b/>
          <w:sz w:val="20"/>
          <w:szCs w:val="20"/>
        </w:rPr>
        <w:t>Modernizace a rozšíření COS, MNUL, o.z. – DESIGN &amp; BUILD“</w:t>
      </w:r>
      <w:r>
        <w:rPr>
          <w:rFonts w:ascii="Arial" w:eastAsia="Arial" w:hAnsi="Arial" w:cs="Arial"/>
          <w:sz w:val="20"/>
          <w:szCs w:val="20"/>
        </w:rPr>
        <w:t xml:space="preserve">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 dne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spacing w:line="20" w:lineRule="exact"/>
        <w:rPr>
          <w:sz w:val="20"/>
          <w:szCs w:val="20"/>
        </w:rPr>
      </w:pPr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26F1-5E68-4D49-9208-94DCDBB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5B6AF-345F-4E7E-8A78-519C1258306D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customXml/itemProps4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2</cp:revision>
  <cp:lastPrinted>2019-12-10T07:48:00Z</cp:lastPrinted>
  <dcterms:created xsi:type="dcterms:W3CDTF">2026-01-20T12:15:00Z</dcterms:created>
  <dcterms:modified xsi:type="dcterms:W3CDTF">2026-01-20T12:15:00Z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