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Denní psychiatrický stacionář pro dospělé, Krajská zdravotní, a.s. – Nemocnice Most,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stavební</w:t>
            </w:r>
            <w:proofErr w:type="gramEnd"/>
            <w:r>
              <w:rPr>
                <w:b/>
                <w:szCs w:val="18"/>
              </w:rPr>
              <w:t xml:space="preserve"> práce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</w:t>
      </w:r>
      <w:bookmarkStart w:id="0" w:name="_GoBack"/>
      <w:bookmarkEnd w:id="0"/>
      <w:r>
        <w:rPr>
          <w:rFonts w:cs="Arial"/>
          <w:szCs w:val="20"/>
        </w:rPr>
        <w:t>u dodavatelem stanovené v zadávací dokumentaci.</w:t>
      </w:r>
    </w:p>
    <w:p>
      <w:pPr>
        <w:jc w:val="both"/>
      </w:pPr>
      <w:r>
        <w:lastRenderedPageBreak/>
        <w:t xml:space="preserve">Účastník bere na vědomí, že zadavatel je </w:t>
      </w:r>
      <w:r>
        <w:rPr>
          <w:rStyle w:val="Siln"/>
          <w:rFonts w:eastAsiaTheme="majorEastAsia" w:cs="Arial"/>
          <w:b w:val="0"/>
          <w:szCs w:val="18"/>
        </w:rPr>
        <w:t>poskytovatelem regulované služby</w:t>
      </w:r>
      <w:r>
        <w:rPr>
          <w:b/>
        </w:rPr>
        <w:t xml:space="preserve"> </w:t>
      </w:r>
      <w:r>
        <w:t>podle zákona č. 264/2025 Sb., o kybernetické bezpečnosti (dále jen „ZKB“), a zavazuje se, že:</w:t>
      </w:r>
    </w:p>
    <w:p>
      <w:pPr>
        <w:pStyle w:val="Odstavecseseznamem"/>
        <w:numPr>
          <w:ilvl w:val="0"/>
          <w:numId w:val="5"/>
        </w:numPr>
        <w:jc w:val="both"/>
      </w:pPr>
      <w:r>
        <w:t>při plnění veřejné zakázky bude dodržovat všechny povinnosti vyplývající ze ZKB a souvisejících právních předpisů,</w:t>
      </w:r>
    </w:p>
    <w:p>
      <w:pPr>
        <w:pStyle w:val="Odstavecseseznamem"/>
        <w:numPr>
          <w:ilvl w:val="0"/>
          <w:numId w:val="5"/>
        </w:numPr>
        <w:jc w:val="both"/>
      </w:pPr>
      <w:r>
        <w:t>nabídne a dodá pouze takový předmět plnění, který je v souladu s právními předpisy a normami České republiky a Evropské unie,</w:t>
      </w:r>
    </w:p>
    <w:p>
      <w:pPr>
        <w:pStyle w:val="Odstavecseseznamem"/>
        <w:numPr>
          <w:ilvl w:val="0"/>
          <w:numId w:val="5"/>
        </w:numPr>
        <w:jc w:val="both"/>
      </w:pPr>
      <w: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Odstavecseseznamem"/>
        <w:numPr>
          <w:ilvl w:val="0"/>
          <w:numId w:val="5"/>
        </w:numPr>
        <w:jc w:val="both"/>
      </w:pPr>
      <w: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</w:t>
      </w:r>
    </w:p>
    <w:p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3070"/>
    <w:multiLevelType w:val="hybridMultilevel"/>
    <w:tmpl w:val="EF202216"/>
    <w:lvl w:ilvl="0" w:tplc="82EC3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682F-80E5-468A-97EC-3F3E2CC2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2026-01-08T10:03:00Z</dcterms:created>
  <dcterms:modified xsi:type="dcterms:W3CDTF">2026-01-08T10:03:00Z</dcterms:modified>
</cp:coreProperties>
</file>