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00D3" w14:textId="77777777" w:rsidR="00484E5F" w:rsidRPr="00484E5F" w:rsidRDefault="00484E5F" w:rsidP="00484E5F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484E5F">
        <w:rPr>
          <w:rFonts w:eastAsia="Times New Roman" w:cs="Arial"/>
          <w:b/>
          <w:sz w:val="28"/>
          <w:szCs w:val="28"/>
          <w:lang w:eastAsia="cs-CZ"/>
        </w:rPr>
        <w:t>Intermitentní dialyzační přístroje</w:t>
      </w:r>
    </w:p>
    <w:p w14:paraId="2871708D" w14:textId="77777777" w:rsidR="00484E5F" w:rsidRPr="00484E5F" w:rsidRDefault="00484E5F" w:rsidP="00484E5F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22F79928" w14:textId="77777777" w:rsidR="00484E5F" w:rsidRPr="00484E5F" w:rsidRDefault="00484E5F" w:rsidP="00484E5F">
      <w:pPr>
        <w:spacing w:line="240" w:lineRule="auto"/>
        <w:jc w:val="center"/>
        <w:rPr>
          <w:rFonts w:eastAsia="Times New Roman" w:cs="Arial"/>
          <w:sz w:val="20"/>
          <w:szCs w:val="20"/>
          <w:highlight w:val="cyan"/>
          <w:lang w:eastAsia="cs-CZ"/>
        </w:rPr>
      </w:pPr>
    </w:p>
    <w:p w14:paraId="0FBB5566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Popis:</w:t>
      </w:r>
      <w:r w:rsidRPr="00484E5F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20C7D092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C993274" w14:textId="77777777" w:rsidR="00484E5F" w:rsidRPr="00484E5F" w:rsidRDefault="00484E5F" w:rsidP="00484E5F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 xml:space="preserve">Intermitentní dialyzační přístroje pro Nefrologicko-dialyzační oddělení, Nemocnice Děčín, o.z. a oddělení ARO, Nemocnice Chomutov, o.z - Krajské zdravotní </w:t>
      </w:r>
      <w:proofErr w:type="gramStart"/>
      <w:r w:rsidRPr="00484E5F">
        <w:rPr>
          <w:rFonts w:eastAsia="Calibri" w:cs="Arial"/>
          <w:sz w:val="20"/>
          <w:szCs w:val="20"/>
        </w:rPr>
        <w:t>a.s..</w:t>
      </w:r>
      <w:proofErr w:type="gramEnd"/>
    </w:p>
    <w:p w14:paraId="0C315593" w14:textId="77777777" w:rsidR="00484E5F" w:rsidRPr="00484E5F" w:rsidRDefault="00484E5F" w:rsidP="00484E5F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5BAC9C2D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>Část č. 1:</w:t>
      </w:r>
    </w:p>
    <w:p w14:paraId="07F057E6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2A68B519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 xml:space="preserve">Intermitentní dialyzační přístroj – 4 ks </w:t>
      </w:r>
    </w:p>
    <w:p w14:paraId="0DF84FCF" w14:textId="77777777" w:rsidR="00484E5F" w:rsidRPr="00484E5F" w:rsidRDefault="00484E5F" w:rsidP="00484E5F">
      <w:pPr>
        <w:spacing w:line="240" w:lineRule="auto"/>
        <w:rPr>
          <w:rFonts w:eastAsia="Calibri" w:cs="Arial"/>
          <w:sz w:val="20"/>
          <w:szCs w:val="20"/>
        </w:rPr>
      </w:pPr>
    </w:p>
    <w:p w14:paraId="0A1A75DE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34288BEF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667"/>
        <w:gridCol w:w="3667"/>
      </w:tblGrid>
      <w:tr w:rsidR="00484E5F" w:rsidRPr="00484E5F" w14:paraId="0ACB3C20" w14:textId="77777777" w:rsidTr="00A54855">
        <w:tc>
          <w:tcPr>
            <w:tcW w:w="5667" w:type="dxa"/>
          </w:tcPr>
          <w:p w14:paraId="128D11D7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  <w:tc>
          <w:tcPr>
            <w:tcW w:w="3667" w:type="dxa"/>
          </w:tcPr>
          <w:p w14:paraId="48F2198E" w14:textId="77777777" w:rsidR="00484E5F" w:rsidRPr="00484E5F" w:rsidRDefault="00484E5F" w:rsidP="00484E5F">
            <w:pPr>
              <w:spacing w:after="160" w:line="240" w:lineRule="auto"/>
              <w:ind w:left="360"/>
              <w:jc w:val="center"/>
              <w:rPr>
                <w:rFonts w:cs="Arial"/>
                <w:sz w:val="20"/>
              </w:rPr>
            </w:pPr>
            <w:r w:rsidRPr="00484E5F">
              <w:rPr>
                <w:rFonts w:cs="Arial"/>
                <w:sz w:val="20"/>
              </w:rPr>
              <w:t>Ano/Ne</w:t>
            </w:r>
          </w:p>
        </w:tc>
      </w:tr>
      <w:tr w:rsidR="00484E5F" w:rsidRPr="00484E5F" w14:paraId="41294324" w14:textId="77777777" w:rsidTr="00A54855">
        <w:tc>
          <w:tcPr>
            <w:tcW w:w="5667" w:type="dxa"/>
          </w:tcPr>
          <w:p w14:paraId="31CE3B7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proofErr w:type="gramStart"/>
            <w:r w:rsidRPr="00484E5F">
              <w:rPr>
                <w:rFonts w:eastAsia="Calibri" w:cs="Arial"/>
                <w:sz w:val="20"/>
              </w:rPr>
              <w:t>Provedení - hemodialýzy</w:t>
            </w:r>
            <w:proofErr w:type="gramEnd"/>
            <w:r w:rsidRPr="00484E5F">
              <w:rPr>
                <w:rFonts w:eastAsia="Calibri" w:cs="Arial"/>
                <w:sz w:val="20"/>
              </w:rPr>
              <w:t>, hemodiafiltrace, hemofiltrace</w:t>
            </w:r>
          </w:p>
        </w:tc>
        <w:tc>
          <w:tcPr>
            <w:tcW w:w="3667" w:type="dxa"/>
          </w:tcPr>
          <w:p w14:paraId="4FCB312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2ADF4A2" w14:textId="77777777" w:rsidTr="00A54855">
        <w:tc>
          <w:tcPr>
            <w:tcW w:w="5667" w:type="dxa"/>
          </w:tcPr>
          <w:p w14:paraId="670188B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izolované ultrafiltrace</w:t>
            </w:r>
          </w:p>
        </w:tc>
        <w:tc>
          <w:tcPr>
            <w:tcW w:w="3667" w:type="dxa"/>
          </w:tcPr>
          <w:p w14:paraId="40E740C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E586B09" w14:textId="77777777" w:rsidTr="00A54855">
        <w:tc>
          <w:tcPr>
            <w:tcW w:w="5667" w:type="dxa"/>
          </w:tcPr>
          <w:p w14:paraId="668E9D80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příprava substitučního roztoku</w:t>
            </w:r>
          </w:p>
        </w:tc>
        <w:tc>
          <w:tcPr>
            <w:tcW w:w="3667" w:type="dxa"/>
          </w:tcPr>
          <w:p w14:paraId="083D2F9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4E1870C" w14:textId="77777777" w:rsidTr="00A54855">
        <w:tc>
          <w:tcPr>
            <w:tcW w:w="5667" w:type="dxa"/>
          </w:tcPr>
          <w:p w14:paraId="110EF94F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Heparinová pumpa</w:t>
            </w:r>
          </w:p>
        </w:tc>
        <w:tc>
          <w:tcPr>
            <w:tcW w:w="3667" w:type="dxa"/>
          </w:tcPr>
          <w:p w14:paraId="067F18A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86BC6E6" w14:textId="77777777" w:rsidTr="00A54855">
        <w:tc>
          <w:tcPr>
            <w:tcW w:w="5667" w:type="dxa"/>
          </w:tcPr>
          <w:p w14:paraId="6B06C30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Čtečka pacientských karet, které umožňují uchovávání individuálních dat pacientů (záznamy průběhu a parametrů ošetření)</w:t>
            </w:r>
          </w:p>
        </w:tc>
        <w:tc>
          <w:tcPr>
            <w:tcW w:w="3667" w:type="dxa"/>
          </w:tcPr>
          <w:p w14:paraId="7D74E46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DB212D7" w14:textId="77777777" w:rsidTr="00A54855">
        <w:tc>
          <w:tcPr>
            <w:tcW w:w="5667" w:type="dxa"/>
          </w:tcPr>
          <w:p w14:paraId="29BA19EE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Přehledná barevná otočná dotyková obrazovka</w:t>
            </w:r>
          </w:p>
        </w:tc>
        <w:tc>
          <w:tcPr>
            <w:tcW w:w="3667" w:type="dxa"/>
          </w:tcPr>
          <w:p w14:paraId="63819806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942244A" w14:textId="77777777" w:rsidTr="00A54855">
        <w:tc>
          <w:tcPr>
            <w:tcW w:w="5667" w:type="dxa"/>
          </w:tcPr>
          <w:p w14:paraId="3389BB3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Zálohování nastavených dialyzačních parametrů při výpadku elektrického proudu</w:t>
            </w:r>
          </w:p>
        </w:tc>
        <w:tc>
          <w:tcPr>
            <w:tcW w:w="3667" w:type="dxa"/>
          </w:tcPr>
          <w:p w14:paraId="45DF0EA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1560809" w14:textId="77777777" w:rsidTr="00A54855">
        <w:tc>
          <w:tcPr>
            <w:tcW w:w="5667" w:type="dxa"/>
          </w:tcPr>
          <w:p w14:paraId="1976FBE2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Ošetření SN alespoň systémem klapka-klapka</w:t>
            </w:r>
          </w:p>
        </w:tc>
        <w:tc>
          <w:tcPr>
            <w:tcW w:w="3667" w:type="dxa"/>
          </w:tcPr>
          <w:p w14:paraId="04A9CE2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79E64C8" w14:textId="77777777" w:rsidTr="00A54855">
        <w:tc>
          <w:tcPr>
            <w:tcW w:w="5667" w:type="dxa"/>
          </w:tcPr>
          <w:p w14:paraId="5C7EE349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Volby profilů natrium, ultrafiltrace</w:t>
            </w:r>
          </w:p>
        </w:tc>
        <w:tc>
          <w:tcPr>
            <w:tcW w:w="3667" w:type="dxa"/>
          </w:tcPr>
          <w:p w14:paraId="0AE25332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6FBD7A8" w14:textId="77777777" w:rsidTr="00A54855">
        <w:tc>
          <w:tcPr>
            <w:tcW w:w="5667" w:type="dxa"/>
          </w:tcPr>
          <w:p w14:paraId="028D084E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pre i post diluční hemodiafiltrace/hemofiltrace bez nutnosti použití přídavných jednorázových filtrů substitučního roztoku a komůrek k dialyzačnímu setu</w:t>
            </w:r>
          </w:p>
        </w:tc>
        <w:tc>
          <w:tcPr>
            <w:tcW w:w="3667" w:type="dxa"/>
          </w:tcPr>
          <w:p w14:paraId="77843BEC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F5BEF9B" w14:textId="77777777" w:rsidTr="00A54855">
        <w:tc>
          <w:tcPr>
            <w:tcW w:w="5667" w:type="dxa"/>
          </w:tcPr>
          <w:p w14:paraId="268D0972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Online bolus substitučního roztoku v průběhu terapie min. v rozsahu 50 - 240ml</w:t>
            </w:r>
          </w:p>
        </w:tc>
        <w:tc>
          <w:tcPr>
            <w:tcW w:w="3667" w:type="dxa"/>
          </w:tcPr>
          <w:p w14:paraId="0BB023D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542A0B3" w14:textId="77777777" w:rsidTr="00A54855">
        <w:tc>
          <w:tcPr>
            <w:tcW w:w="5667" w:type="dxa"/>
          </w:tcPr>
          <w:p w14:paraId="0503FAD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Použití dialyzačních setů pro HD pre a post diluční HDF a HF s on-line plněním při přípravě dialyzačních přístrojů (bez nutnosti použití vaků s NaCl)</w:t>
            </w:r>
          </w:p>
        </w:tc>
        <w:tc>
          <w:tcPr>
            <w:tcW w:w="3667" w:type="dxa"/>
          </w:tcPr>
          <w:p w14:paraId="04BB6C9E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DD4652" w14:textId="77777777" w:rsidTr="00A54855">
        <w:tc>
          <w:tcPr>
            <w:tcW w:w="5667" w:type="dxa"/>
          </w:tcPr>
          <w:p w14:paraId="081BA87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– hemodialýzy, hemodiafiltrace a hemofiltrace v plnohodnotné kvalitě s dialyzátorem, který není vázaným spotřebním materiálem na dodavatele dialyzačního přístroje</w:t>
            </w:r>
          </w:p>
        </w:tc>
        <w:tc>
          <w:tcPr>
            <w:tcW w:w="3667" w:type="dxa"/>
          </w:tcPr>
          <w:p w14:paraId="281A312D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4CA1FF" w14:textId="77777777" w:rsidTr="00A54855">
        <w:tc>
          <w:tcPr>
            <w:tcW w:w="5667" w:type="dxa"/>
          </w:tcPr>
          <w:p w14:paraId="36DF696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Přístroj musí být vybaven konektorem RJ45 pro připojení do datové sítě pro stahování dat průběhu </w:t>
            </w:r>
            <w:r w:rsidRPr="00484E5F">
              <w:rPr>
                <w:rFonts w:eastAsia="Calibri" w:cs="Arial"/>
                <w:sz w:val="20"/>
              </w:rPr>
              <w:lastRenderedPageBreak/>
              <w:t>dialýzy pacienta – IS NEFRIS. V případě, že bude mít pouze konektor RS232, musí být v rámci dodávky převodník z RS232 na RJ45</w:t>
            </w:r>
          </w:p>
        </w:tc>
        <w:tc>
          <w:tcPr>
            <w:tcW w:w="3667" w:type="dxa"/>
          </w:tcPr>
          <w:p w14:paraId="33DB049C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7368A2B" w14:textId="77777777" w:rsidTr="00A54855">
        <w:tc>
          <w:tcPr>
            <w:tcW w:w="5667" w:type="dxa"/>
          </w:tcPr>
          <w:p w14:paraId="3AEF9ED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Brzditelná všechna kolečka podvozku</w:t>
            </w:r>
          </w:p>
        </w:tc>
        <w:tc>
          <w:tcPr>
            <w:tcW w:w="3667" w:type="dxa"/>
          </w:tcPr>
          <w:p w14:paraId="15AE351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F41009E" w14:textId="77777777" w:rsidTr="00A54855">
        <w:tc>
          <w:tcPr>
            <w:tcW w:w="5667" w:type="dxa"/>
          </w:tcPr>
          <w:p w14:paraId="625F67E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Záložní zdroj energie na dobu minimálně 15 min součástí dodávky </w:t>
            </w:r>
          </w:p>
        </w:tc>
        <w:tc>
          <w:tcPr>
            <w:tcW w:w="3667" w:type="dxa"/>
          </w:tcPr>
          <w:p w14:paraId="0122631D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74D851" w14:textId="77777777" w:rsidTr="00A54855">
        <w:tc>
          <w:tcPr>
            <w:tcW w:w="5667" w:type="dxa"/>
          </w:tcPr>
          <w:p w14:paraId="1BC15FE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Nastavitelný průtok dialyzačního roztoku u HD 300 - 800 ml/</w:t>
            </w:r>
            <w:proofErr w:type="gramStart"/>
            <w:r w:rsidRPr="00484E5F">
              <w:rPr>
                <w:rFonts w:eastAsia="Calibri" w:cs="Arial"/>
                <w:sz w:val="20"/>
              </w:rPr>
              <w:t>min  u</w:t>
            </w:r>
            <w:proofErr w:type="gramEnd"/>
            <w:r w:rsidRPr="00484E5F">
              <w:rPr>
                <w:rFonts w:eastAsia="Calibri" w:cs="Arial"/>
                <w:sz w:val="20"/>
              </w:rPr>
              <w:t xml:space="preserve"> HDF  500 - 800 ml/min</w:t>
            </w:r>
          </w:p>
        </w:tc>
        <w:tc>
          <w:tcPr>
            <w:tcW w:w="3667" w:type="dxa"/>
          </w:tcPr>
          <w:p w14:paraId="6488F03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5FE3ACCA" w14:textId="77777777" w:rsidTr="00A54855">
        <w:tc>
          <w:tcPr>
            <w:tcW w:w="5667" w:type="dxa"/>
          </w:tcPr>
          <w:p w14:paraId="419B8B85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Schopnost přístroje automatické úpravy rychlosti ultrafiltrace v závislosti na kontinuálním vývoji změn krevního objemu a změn hodnot krevního tlaku</w:t>
            </w:r>
          </w:p>
        </w:tc>
        <w:tc>
          <w:tcPr>
            <w:tcW w:w="3667" w:type="dxa"/>
          </w:tcPr>
          <w:p w14:paraId="07443CF8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</w:tbl>
    <w:p w14:paraId="3C68B227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178743CF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lang w:eastAsia="cs-CZ"/>
        </w:rPr>
        <w:t xml:space="preserve">Hodnocené parametry – podkročitelné: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3"/>
        <w:gridCol w:w="4098"/>
        <w:gridCol w:w="1868"/>
        <w:gridCol w:w="1604"/>
        <w:gridCol w:w="1381"/>
      </w:tblGrid>
      <w:tr w:rsidR="00484E5F" w:rsidRPr="00484E5F" w14:paraId="0CA8328E" w14:textId="77777777" w:rsidTr="00A54855">
        <w:trPr>
          <w:trHeight w:val="870"/>
        </w:trPr>
        <w:tc>
          <w:tcPr>
            <w:tcW w:w="1103" w:type="dxa"/>
            <w:textDirection w:val="btLr"/>
            <w:hideMark/>
          </w:tcPr>
          <w:p w14:paraId="3B41142C" w14:textId="77777777" w:rsidR="00484E5F" w:rsidRPr="00484E5F" w:rsidRDefault="00484E5F" w:rsidP="00484E5F">
            <w:pPr>
              <w:spacing w:after="160" w:line="240" w:lineRule="auto"/>
              <w:ind w:left="113"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pořadí</w:t>
            </w:r>
          </w:p>
        </w:tc>
        <w:tc>
          <w:tcPr>
            <w:tcW w:w="4098" w:type="dxa"/>
            <w:hideMark/>
          </w:tcPr>
          <w:p w14:paraId="4AAFA9C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posuzovaný / hodnocený parametr</w:t>
            </w:r>
          </w:p>
        </w:tc>
        <w:tc>
          <w:tcPr>
            <w:tcW w:w="1868" w:type="dxa"/>
            <w:hideMark/>
          </w:tcPr>
          <w:p w14:paraId="5010662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Nabízený produkt splňuje ano/ne</w:t>
            </w:r>
          </w:p>
        </w:tc>
        <w:tc>
          <w:tcPr>
            <w:tcW w:w="1604" w:type="dxa"/>
            <w:hideMark/>
          </w:tcPr>
          <w:p w14:paraId="202B7E26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ANO</w:t>
            </w:r>
          </w:p>
        </w:tc>
        <w:tc>
          <w:tcPr>
            <w:tcW w:w="1381" w:type="dxa"/>
            <w:hideMark/>
          </w:tcPr>
          <w:p w14:paraId="3F93301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NE</w:t>
            </w:r>
          </w:p>
        </w:tc>
      </w:tr>
      <w:tr w:rsidR="00484E5F" w:rsidRPr="00484E5F" w14:paraId="598F9748" w14:textId="77777777" w:rsidTr="00A54855">
        <w:trPr>
          <w:trHeight w:val="799"/>
        </w:trPr>
        <w:tc>
          <w:tcPr>
            <w:tcW w:w="1103" w:type="dxa"/>
            <w:hideMark/>
          </w:tcPr>
          <w:p w14:paraId="2BA8296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1.</w:t>
            </w:r>
          </w:p>
        </w:tc>
        <w:tc>
          <w:tcPr>
            <w:tcW w:w="4098" w:type="dxa"/>
            <w:hideMark/>
          </w:tcPr>
          <w:p w14:paraId="6D4960F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Životnost pyrogenních filtrů minimálně 200 ošetření</w:t>
            </w:r>
          </w:p>
        </w:tc>
        <w:tc>
          <w:tcPr>
            <w:tcW w:w="1868" w:type="dxa"/>
            <w:hideMark/>
          </w:tcPr>
          <w:p w14:paraId="331A741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18E4A0C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35 bodů</w:t>
            </w:r>
          </w:p>
        </w:tc>
        <w:tc>
          <w:tcPr>
            <w:tcW w:w="1381" w:type="dxa"/>
            <w:hideMark/>
          </w:tcPr>
          <w:p w14:paraId="15F7AC0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0079EAF6" w14:textId="77777777" w:rsidTr="00A54855">
        <w:trPr>
          <w:trHeight w:val="799"/>
        </w:trPr>
        <w:tc>
          <w:tcPr>
            <w:tcW w:w="1103" w:type="dxa"/>
            <w:hideMark/>
          </w:tcPr>
          <w:p w14:paraId="74AB7FF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t>2.</w:t>
            </w:r>
          </w:p>
        </w:tc>
        <w:tc>
          <w:tcPr>
            <w:tcW w:w="4098" w:type="dxa"/>
            <w:hideMark/>
          </w:tcPr>
          <w:p w14:paraId="72592CA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Profilování v čase všech uvedených parametrů: ultrafiltrace, natrium, heparin, teplota dialyzátu, průtok dialyzátu, bikarbonát </w:t>
            </w:r>
          </w:p>
        </w:tc>
        <w:tc>
          <w:tcPr>
            <w:tcW w:w="1868" w:type="dxa"/>
            <w:hideMark/>
          </w:tcPr>
          <w:p w14:paraId="6211E6B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63CDE12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25 bodů</w:t>
            </w:r>
          </w:p>
        </w:tc>
        <w:tc>
          <w:tcPr>
            <w:tcW w:w="1381" w:type="dxa"/>
            <w:hideMark/>
          </w:tcPr>
          <w:p w14:paraId="6C43CF7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7A8D5067" w14:textId="77777777" w:rsidTr="00A54855">
        <w:trPr>
          <w:trHeight w:val="799"/>
        </w:trPr>
        <w:tc>
          <w:tcPr>
            <w:tcW w:w="1103" w:type="dxa"/>
            <w:hideMark/>
          </w:tcPr>
          <w:p w14:paraId="603788C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3.</w:t>
            </w:r>
          </w:p>
        </w:tc>
        <w:tc>
          <w:tcPr>
            <w:tcW w:w="4098" w:type="dxa"/>
            <w:hideMark/>
          </w:tcPr>
          <w:p w14:paraId="4D880B7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stanovení účinnosti dialýzy Kt/V v průběhu celého ošetření pro metody HD, HDF, single-needle na základě přímého měření dialyzance urey s možností grafického zobrazení naměřených hodnot</w:t>
            </w:r>
          </w:p>
        </w:tc>
        <w:tc>
          <w:tcPr>
            <w:tcW w:w="1868" w:type="dxa"/>
            <w:hideMark/>
          </w:tcPr>
          <w:p w14:paraId="772CEE9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11C9AAD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25 bodů</w:t>
            </w:r>
          </w:p>
        </w:tc>
        <w:tc>
          <w:tcPr>
            <w:tcW w:w="1381" w:type="dxa"/>
            <w:hideMark/>
          </w:tcPr>
          <w:p w14:paraId="00ACA6F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940CBE9" w14:textId="77777777" w:rsidTr="00A54855">
        <w:trPr>
          <w:trHeight w:val="799"/>
        </w:trPr>
        <w:tc>
          <w:tcPr>
            <w:tcW w:w="1103" w:type="dxa"/>
            <w:hideMark/>
          </w:tcPr>
          <w:p w14:paraId="1A526BF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4.</w:t>
            </w:r>
          </w:p>
        </w:tc>
        <w:tc>
          <w:tcPr>
            <w:tcW w:w="4098" w:type="dxa"/>
            <w:hideMark/>
          </w:tcPr>
          <w:p w14:paraId="6705B5E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Paměťová karta, která umožňuje zaznamenat parametry alespoň 50 posledních ošetření </w:t>
            </w:r>
          </w:p>
        </w:tc>
        <w:tc>
          <w:tcPr>
            <w:tcW w:w="1868" w:type="dxa"/>
            <w:hideMark/>
          </w:tcPr>
          <w:p w14:paraId="6121505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1604" w:type="dxa"/>
            <w:hideMark/>
          </w:tcPr>
          <w:p w14:paraId="5612F9A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15 bodů</w:t>
            </w:r>
          </w:p>
        </w:tc>
        <w:tc>
          <w:tcPr>
            <w:tcW w:w="1381" w:type="dxa"/>
            <w:hideMark/>
          </w:tcPr>
          <w:p w14:paraId="30FF9D42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</w:tbl>
    <w:p w14:paraId="25DB88CE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721C1489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Základní technické požadavky na vázaný spotřební materiál pro část č. 1 tj. pro 4 dialyzační přístroje na 4 roky:</w:t>
      </w:r>
    </w:p>
    <w:p w14:paraId="3A4CB379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Dialyzační sety</w:t>
      </w:r>
    </w:p>
    <w:p w14:paraId="2B8DEB6C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Dialyzační sety bez obsahu ftalátů pro hemodialýzu s on-line plněním při přípravě dialyzačního monitoru (bez potřeby vaků s NaCl) kompatibilní s přístroji, které budou předmětem nabídky. V předpokládaném množství 6 240 ks/ 4 roky.</w:t>
      </w:r>
    </w:p>
    <w:p w14:paraId="7E8D4621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Dialyzační sety bez obsahu ftalátů pro on-line pre i post diluční hemodiafiltraci s on-line plněním při přípravě dialyzačního monitoru (bez potřeby vaků s NaCl) kompatibilní s přístroji, které budou předmětem nabídky. V předpokládaném množství 6 </w:t>
      </w:r>
      <w:proofErr w:type="gramStart"/>
      <w:r w:rsidRPr="00484E5F">
        <w:rPr>
          <w:rFonts w:eastAsia="Calibri" w:cs="Arial"/>
          <w:sz w:val="20"/>
          <w:szCs w:val="20"/>
        </w:rPr>
        <w:t>240  ks</w:t>
      </w:r>
      <w:proofErr w:type="gramEnd"/>
      <w:r w:rsidRPr="00484E5F">
        <w:rPr>
          <w:rFonts w:eastAsia="Calibri" w:cs="Arial"/>
          <w:sz w:val="20"/>
          <w:szCs w:val="20"/>
        </w:rPr>
        <w:t>/ 4 roky.</w:t>
      </w:r>
    </w:p>
    <w:p w14:paraId="0CC84D2A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7B44EA65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Bikarbonátový dialyzační koncentrát</w:t>
      </w:r>
    </w:p>
    <w:p w14:paraId="1DE10FFE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Bikarbonátové patrony pro hemodialýzu (min. 650 g) kompatibilní s přístroji, které budou předmětem nabídky. V předpokládaném množství 6 </w:t>
      </w:r>
      <w:proofErr w:type="gramStart"/>
      <w:r w:rsidRPr="00484E5F">
        <w:rPr>
          <w:rFonts w:eastAsia="Calibri" w:cs="Arial"/>
          <w:sz w:val="20"/>
          <w:szCs w:val="20"/>
        </w:rPr>
        <w:t>240  ks</w:t>
      </w:r>
      <w:proofErr w:type="gramEnd"/>
      <w:r w:rsidRPr="00484E5F">
        <w:rPr>
          <w:rFonts w:eastAsia="Calibri" w:cs="Arial"/>
          <w:sz w:val="20"/>
          <w:szCs w:val="20"/>
        </w:rPr>
        <w:t>/ 4 roky.</w:t>
      </w:r>
    </w:p>
    <w:p w14:paraId="5E2F3AF2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Bikarbonátové patrony pro on-line hemodiafiltraci (min. 750 g) kompatibilní s přístroji, které budou předmětem nabídky. V předpokládaném množství 6 </w:t>
      </w:r>
      <w:proofErr w:type="gramStart"/>
      <w:r w:rsidRPr="00484E5F">
        <w:rPr>
          <w:rFonts w:eastAsia="Calibri" w:cs="Arial"/>
          <w:sz w:val="20"/>
          <w:szCs w:val="20"/>
        </w:rPr>
        <w:t>240  ks</w:t>
      </w:r>
      <w:proofErr w:type="gramEnd"/>
      <w:r w:rsidRPr="00484E5F">
        <w:rPr>
          <w:rFonts w:eastAsia="Calibri" w:cs="Arial"/>
          <w:sz w:val="20"/>
          <w:szCs w:val="20"/>
        </w:rPr>
        <w:t>/ 4 roky.</w:t>
      </w:r>
    </w:p>
    <w:p w14:paraId="54F52E2E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5CF97380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Pyrogenní filtry</w:t>
      </w:r>
    </w:p>
    <w:p w14:paraId="68D0D8B4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Pyrogenní filtry kompatibilní s přístroji, které budou předmětem nabídky. V předpokládaném množství odpovídajícím 12 480 terapiím/4 roky/4 ks.</w:t>
      </w:r>
    </w:p>
    <w:p w14:paraId="2F165E1D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8254785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93569A6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>Část č. 2:</w:t>
      </w:r>
    </w:p>
    <w:p w14:paraId="3122BEDA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1D0077DB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3602CB0D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 xml:space="preserve">Intermitentní dialyzační přístroj – 5 ks </w:t>
      </w:r>
    </w:p>
    <w:p w14:paraId="243477EF" w14:textId="77777777" w:rsidR="00484E5F" w:rsidRPr="00484E5F" w:rsidRDefault="00484E5F" w:rsidP="00484E5F">
      <w:pPr>
        <w:spacing w:line="240" w:lineRule="auto"/>
        <w:rPr>
          <w:rFonts w:eastAsia="Calibri" w:cs="Arial"/>
          <w:sz w:val="20"/>
          <w:szCs w:val="20"/>
        </w:rPr>
      </w:pPr>
    </w:p>
    <w:p w14:paraId="0BE9C6DF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 xml:space="preserve">Požadované minimální technické a uživatelské parametry a vlastnosti: </w:t>
      </w:r>
    </w:p>
    <w:p w14:paraId="227F1196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667"/>
        <w:gridCol w:w="3667"/>
      </w:tblGrid>
      <w:tr w:rsidR="00484E5F" w:rsidRPr="00484E5F" w14:paraId="4BB66FE7" w14:textId="77777777" w:rsidTr="00A54855">
        <w:tc>
          <w:tcPr>
            <w:tcW w:w="5667" w:type="dxa"/>
          </w:tcPr>
          <w:p w14:paraId="7FD2604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  <w:tc>
          <w:tcPr>
            <w:tcW w:w="3667" w:type="dxa"/>
          </w:tcPr>
          <w:p w14:paraId="44C4C495" w14:textId="77777777" w:rsidR="00484E5F" w:rsidRPr="00484E5F" w:rsidRDefault="00484E5F" w:rsidP="00484E5F">
            <w:pPr>
              <w:spacing w:after="160" w:line="240" w:lineRule="auto"/>
              <w:ind w:left="360"/>
              <w:jc w:val="center"/>
              <w:rPr>
                <w:rFonts w:cs="Arial"/>
                <w:sz w:val="20"/>
              </w:rPr>
            </w:pPr>
            <w:r w:rsidRPr="00484E5F">
              <w:rPr>
                <w:rFonts w:cs="Arial"/>
                <w:sz w:val="20"/>
              </w:rPr>
              <w:t>Ano/Ne</w:t>
            </w:r>
          </w:p>
        </w:tc>
      </w:tr>
      <w:tr w:rsidR="00484E5F" w:rsidRPr="00484E5F" w14:paraId="12212B29" w14:textId="77777777" w:rsidTr="00A54855">
        <w:tc>
          <w:tcPr>
            <w:tcW w:w="5667" w:type="dxa"/>
          </w:tcPr>
          <w:p w14:paraId="30EFE0B6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proofErr w:type="gramStart"/>
            <w:r w:rsidRPr="00484E5F">
              <w:rPr>
                <w:rFonts w:eastAsia="Calibri" w:cs="Arial"/>
                <w:sz w:val="20"/>
              </w:rPr>
              <w:t>Provedení - hemodialýzy</w:t>
            </w:r>
            <w:proofErr w:type="gramEnd"/>
            <w:r w:rsidRPr="00484E5F">
              <w:rPr>
                <w:rFonts w:eastAsia="Calibri" w:cs="Arial"/>
                <w:sz w:val="20"/>
              </w:rPr>
              <w:t>, hemodiafiltrace, hemofiltrace</w:t>
            </w:r>
          </w:p>
        </w:tc>
        <w:tc>
          <w:tcPr>
            <w:tcW w:w="3667" w:type="dxa"/>
          </w:tcPr>
          <w:p w14:paraId="7D8C804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B489FA" w14:textId="77777777" w:rsidTr="00A54855">
        <w:tc>
          <w:tcPr>
            <w:tcW w:w="5667" w:type="dxa"/>
          </w:tcPr>
          <w:p w14:paraId="1D818CF4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izolované ultrafiltrace</w:t>
            </w:r>
          </w:p>
        </w:tc>
        <w:tc>
          <w:tcPr>
            <w:tcW w:w="3667" w:type="dxa"/>
          </w:tcPr>
          <w:p w14:paraId="0E0923F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67E8101" w14:textId="77777777" w:rsidTr="00A54855">
        <w:tc>
          <w:tcPr>
            <w:tcW w:w="5667" w:type="dxa"/>
          </w:tcPr>
          <w:p w14:paraId="1C1E02DB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příprava substitučního roztoku</w:t>
            </w:r>
          </w:p>
        </w:tc>
        <w:tc>
          <w:tcPr>
            <w:tcW w:w="3667" w:type="dxa"/>
          </w:tcPr>
          <w:p w14:paraId="46604687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2BB64E5" w14:textId="77777777" w:rsidTr="00A54855">
        <w:tc>
          <w:tcPr>
            <w:tcW w:w="5667" w:type="dxa"/>
          </w:tcPr>
          <w:p w14:paraId="6E280D01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Heparinová pumpa</w:t>
            </w:r>
          </w:p>
        </w:tc>
        <w:tc>
          <w:tcPr>
            <w:tcW w:w="3667" w:type="dxa"/>
          </w:tcPr>
          <w:p w14:paraId="1187D321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24D5D407" w14:textId="77777777" w:rsidTr="00A54855">
        <w:tc>
          <w:tcPr>
            <w:tcW w:w="5667" w:type="dxa"/>
          </w:tcPr>
          <w:p w14:paraId="0A1A58BF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Kontinuální monitorování a stanovení dialyzační dávky Kt/V</w:t>
            </w:r>
          </w:p>
        </w:tc>
        <w:tc>
          <w:tcPr>
            <w:tcW w:w="3667" w:type="dxa"/>
          </w:tcPr>
          <w:p w14:paraId="2FCB49A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87DE239" w14:textId="77777777" w:rsidTr="00A54855">
        <w:tc>
          <w:tcPr>
            <w:tcW w:w="5667" w:type="dxa"/>
          </w:tcPr>
          <w:p w14:paraId="3A33DF25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Čtečka pacientských karet, které umožňují uchovávání individuálních dat pacientů (záznamy průběhu a parametrů ošetření)</w:t>
            </w:r>
          </w:p>
        </w:tc>
        <w:tc>
          <w:tcPr>
            <w:tcW w:w="3667" w:type="dxa"/>
          </w:tcPr>
          <w:p w14:paraId="730456A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2831FA9" w14:textId="77777777" w:rsidTr="00A54855">
        <w:tc>
          <w:tcPr>
            <w:tcW w:w="5667" w:type="dxa"/>
          </w:tcPr>
          <w:p w14:paraId="605C612C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Přehledná barevná otočná dotyková obrazovka</w:t>
            </w:r>
          </w:p>
        </w:tc>
        <w:tc>
          <w:tcPr>
            <w:tcW w:w="3667" w:type="dxa"/>
          </w:tcPr>
          <w:p w14:paraId="5308C53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27D794A" w14:textId="77777777" w:rsidTr="00A54855">
        <w:tc>
          <w:tcPr>
            <w:tcW w:w="5667" w:type="dxa"/>
          </w:tcPr>
          <w:p w14:paraId="4B6244DA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Zálohování nastavených dialyzačních parametrů při výpadku elektrického proudu</w:t>
            </w:r>
          </w:p>
        </w:tc>
        <w:tc>
          <w:tcPr>
            <w:tcW w:w="3667" w:type="dxa"/>
          </w:tcPr>
          <w:p w14:paraId="13F82A5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76899B9" w14:textId="77777777" w:rsidTr="00A54855">
        <w:tc>
          <w:tcPr>
            <w:tcW w:w="5667" w:type="dxa"/>
          </w:tcPr>
          <w:p w14:paraId="12A2E760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Ošetření SN alespoň systémem klapka-klapka</w:t>
            </w:r>
          </w:p>
        </w:tc>
        <w:tc>
          <w:tcPr>
            <w:tcW w:w="3667" w:type="dxa"/>
          </w:tcPr>
          <w:p w14:paraId="0E92F90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4663D38" w14:textId="77777777" w:rsidTr="00A54855">
        <w:tc>
          <w:tcPr>
            <w:tcW w:w="5667" w:type="dxa"/>
          </w:tcPr>
          <w:p w14:paraId="42DE24AD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Volby profilů natrium, ultrafiltrace</w:t>
            </w:r>
          </w:p>
        </w:tc>
        <w:tc>
          <w:tcPr>
            <w:tcW w:w="3667" w:type="dxa"/>
          </w:tcPr>
          <w:p w14:paraId="5F31CBD9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749E1552" w14:textId="77777777" w:rsidTr="00A54855">
        <w:tc>
          <w:tcPr>
            <w:tcW w:w="5667" w:type="dxa"/>
          </w:tcPr>
          <w:p w14:paraId="31474AB6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On-line pre i post diluční hemodiafiltrace/hemofiltrace bez nutnosti použití přídavných jednorázových filtrů substitučního roztoku a komůrek k dialyzačnímu setu</w:t>
            </w:r>
          </w:p>
        </w:tc>
        <w:tc>
          <w:tcPr>
            <w:tcW w:w="3667" w:type="dxa"/>
          </w:tcPr>
          <w:p w14:paraId="1709F8E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563AF26" w14:textId="77777777" w:rsidTr="00A54855">
        <w:tc>
          <w:tcPr>
            <w:tcW w:w="5667" w:type="dxa"/>
          </w:tcPr>
          <w:p w14:paraId="6FA4EA7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Online bolus substitučního roztoku v průběhu terapie min. v rozsahu 50 - 240ml</w:t>
            </w:r>
          </w:p>
        </w:tc>
        <w:tc>
          <w:tcPr>
            <w:tcW w:w="3667" w:type="dxa"/>
          </w:tcPr>
          <w:p w14:paraId="24C3C4DA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14C08604" w14:textId="77777777" w:rsidTr="00A54855">
        <w:tc>
          <w:tcPr>
            <w:tcW w:w="5667" w:type="dxa"/>
          </w:tcPr>
          <w:p w14:paraId="5C42F103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lastRenderedPageBreak/>
              <w:t>Použití dialyzačních setů pro HD pre a post diluční HDF a HF s on-line plněním při přípravě dialyzačních přístrojů (bez nutnosti použití vaků s NaCl)</w:t>
            </w:r>
          </w:p>
        </w:tc>
        <w:tc>
          <w:tcPr>
            <w:tcW w:w="3667" w:type="dxa"/>
          </w:tcPr>
          <w:p w14:paraId="0F24E060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0FE155BD" w14:textId="77777777" w:rsidTr="00A54855">
        <w:tc>
          <w:tcPr>
            <w:tcW w:w="5667" w:type="dxa"/>
          </w:tcPr>
          <w:p w14:paraId="38E1F15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Provedení – hemodialýzy, hemodiafiltrace a hemofiltrace v plnohodnotné kvalitě s dialyzátorem, který není vázaným spotřebním materiálem na dodavatele dialyzačního přístroje</w:t>
            </w:r>
          </w:p>
        </w:tc>
        <w:tc>
          <w:tcPr>
            <w:tcW w:w="3667" w:type="dxa"/>
          </w:tcPr>
          <w:p w14:paraId="4EF45EB0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437A9751" w14:textId="77777777" w:rsidTr="00A54855">
        <w:tc>
          <w:tcPr>
            <w:tcW w:w="5667" w:type="dxa"/>
          </w:tcPr>
          <w:p w14:paraId="52A2F84B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Přístroj musí být vybaven konektorem RJ45 pro připojení do datové sítě pro stahování dat průběhu dialýzy pacienta – IS NEFRIS. V případě, že bude mít pouze konektor RS232, musí být v rámci dodávky převodník z RS232 na RJ45</w:t>
            </w:r>
          </w:p>
        </w:tc>
        <w:tc>
          <w:tcPr>
            <w:tcW w:w="3667" w:type="dxa"/>
          </w:tcPr>
          <w:p w14:paraId="511C3DC5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402D7DFB" w14:textId="77777777" w:rsidTr="00A54855">
        <w:tc>
          <w:tcPr>
            <w:tcW w:w="5667" w:type="dxa"/>
          </w:tcPr>
          <w:p w14:paraId="510BD5B7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Brzditelná všechna kolečka podvozku</w:t>
            </w:r>
          </w:p>
        </w:tc>
        <w:tc>
          <w:tcPr>
            <w:tcW w:w="3667" w:type="dxa"/>
          </w:tcPr>
          <w:p w14:paraId="4E12BEC6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484E5F" w:rsidRPr="00484E5F" w14:paraId="3CC83924" w14:textId="77777777" w:rsidTr="00A54855">
        <w:tc>
          <w:tcPr>
            <w:tcW w:w="5667" w:type="dxa"/>
          </w:tcPr>
          <w:p w14:paraId="2C46EE09" w14:textId="77777777" w:rsidR="00484E5F" w:rsidRPr="00484E5F" w:rsidRDefault="00484E5F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Záložní zdroj energie na dobu minimálně 15 min součástí dodávky</w:t>
            </w:r>
          </w:p>
        </w:tc>
        <w:tc>
          <w:tcPr>
            <w:tcW w:w="3667" w:type="dxa"/>
          </w:tcPr>
          <w:p w14:paraId="38269FAB" w14:textId="77777777" w:rsidR="00484E5F" w:rsidRPr="00484E5F" w:rsidRDefault="00484E5F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  <w:tr w:rsidR="003C5242" w:rsidRPr="00484E5F" w14:paraId="513A6864" w14:textId="77777777" w:rsidTr="00A54855">
        <w:tc>
          <w:tcPr>
            <w:tcW w:w="5667" w:type="dxa"/>
          </w:tcPr>
          <w:p w14:paraId="46E9E886" w14:textId="48C3A00A" w:rsidR="003C5242" w:rsidRPr="00484E5F" w:rsidRDefault="003C5242" w:rsidP="00484E5F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Nastavitelný průtok dialyzačního roztoku u HD 300 - 800 ml/</w:t>
            </w:r>
            <w:proofErr w:type="gramStart"/>
            <w:r w:rsidRPr="00484E5F">
              <w:rPr>
                <w:rFonts w:eastAsia="Calibri" w:cs="Arial"/>
                <w:sz w:val="20"/>
              </w:rPr>
              <w:t>min  u</w:t>
            </w:r>
            <w:proofErr w:type="gramEnd"/>
            <w:r w:rsidRPr="00484E5F">
              <w:rPr>
                <w:rFonts w:eastAsia="Calibri" w:cs="Arial"/>
                <w:sz w:val="20"/>
              </w:rPr>
              <w:t xml:space="preserve"> HDF  500 - 800 ml/min</w:t>
            </w:r>
          </w:p>
        </w:tc>
        <w:tc>
          <w:tcPr>
            <w:tcW w:w="3667" w:type="dxa"/>
          </w:tcPr>
          <w:p w14:paraId="168A4309" w14:textId="77777777" w:rsidR="003C5242" w:rsidRPr="00484E5F" w:rsidRDefault="003C5242" w:rsidP="00484E5F">
            <w:pPr>
              <w:spacing w:after="160" w:line="240" w:lineRule="auto"/>
              <w:ind w:left="360"/>
              <w:jc w:val="both"/>
              <w:rPr>
                <w:rFonts w:cs="Arial"/>
                <w:sz w:val="20"/>
              </w:rPr>
            </w:pPr>
          </w:p>
        </w:tc>
      </w:tr>
    </w:tbl>
    <w:p w14:paraId="6844E1A2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3590EF99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84E5F">
        <w:rPr>
          <w:rFonts w:eastAsia="Times New Roman" w:cs="Arial"/>
          <w:sz w:val="20"/>
          <w:szCs w:val="20"/>
          <w:lang w:eastAsia="cs-CZ"/>
        </w:rPr>
        <w:t xml:space="preserve">Hodnocené parametry – podkročitelné: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3"/>
        <w:gridCol w:w="3599"/>
        <w:gridCol w:w="2181"/>
        <w:gridCol w:w="1932"/>
        <w:gridCol w:w="1381"/>
      </w:tblGrid>
      <w:tr w:rsidR="00484E5F" w:rsidRPr="00484E5F" w14:paraId="3C6CE385" w14:textId="77777777" w:rsidTr="00A54855">
        <w:trPr>
          <w:trHeight w:val="841"/>
        </w:trPr>
        <w:tc>
          <w:tcPr>
            <w:tcW w:w="1103" w:type="dxa"/>
            <w:textDirection w:val="btLr"/>
            <w:hideMark/>
          </w:tcPr>
          <w:p w14:paraId="1444A211" w14:textId="77777777" w:rsidR="00484E5F" w:rsidRPr="00484E5F" w:rsidRDefault="00484E5F" w:rsidP="00484E5F">
            <w:pPr>
              <w:spacing w:after="160" w:line="240" w:lineRule="auto"/>
              <w:ind w:left="113"/>
              <w:jc w:val="both"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pořadí</w:t>
            </w:r>
          </w:p>
        </w:tc>
        <w:tc>
          <w:tcPr>
            <w:tcW w:w="3923" w:type="dxa"/>
            <w:hideMark/>
          </w:tcPr>
          <w:p w14:paraId="280A25B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posuzovaný / hodnocený parametr</w:t>
            </w:r>
          </w:p>
        </w:tc>
        <w:tc>
          <w:tcPr>
            <w:tcW w:w="2266" w:type="dxa"/>
            <w:hideMark/>
          </w:tcPr>
          <w:p w14:paraId="2855B88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Nabízený produkt splňuje ano/ne</w:t>
            </w:r>
          </w:p>
        </w:tc>
        <w:tc>
          <w:tcPr>
            <w:tcW w:w="2059" w:type="dxa"/>
            <w:hideMark/>
          </w:tcPr>
          <w:p w14:paraId="7B949463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ANO</w:t>
            </w:r>
          </w:p>
        </w:tc>
        <w:tc>
          <w:tcPr>
            <w:tcW w:w="703" w:type="dxa"/>
            <w:hideMark/>
          </w:tcPr>
          <w:p w14:paraId="0E0DA483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</w:rPr>
            </w:pPr>
            <w:r w:rsidRPr="00484E5F">
              <w:rPr>
                <w:rFonts w:eastAsia="Calibri" w:cs="Arial"/>
                <w:b/>
                <w:bCs/>
                <w:sz w:val="20"/>
              </w:rPr>
              <w:t>NE</w:t>
            </w:r>
          </w:p>
        </w:tc>
      </w:tr>
      <w:tr w:rsidR="00484E5F" w:rsidRPr="00484E5F" w14:paraId="1DA90F7A" w14:textId="77777777" w:rsidTr="00A54855">
        <w:trPr>
          <w:trHeight w:val="799"/>
        </w:trPr>
        <w:tc>
          <w:tcPr>
            <w:tcW w:w="1103" w:type="dxa"/>
            <w:hideMark/>
          </w:tcPr>
          <w:p w14:paraId="38614C6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1.</w:t>
            </w:r>
          </w:p>
        </w:tc>
        <w:tc>
          <w:tcPr>
            <w:tcW w:w="3923" w:type="dxa"/>
            <w:hideMark/>
          </w:tcPr>
          <w:p w14:paraId="07BD7C5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Automatická i manuálně nastavitelná regulace substituční rychlosti dle individuálních potřeb a možností pacienta během HDF a HF</w:t>
            </w:r>
          </w:p>
        </w:tc>
        <w:tc>
          <w:tcPr>
            <w:tcW w:w="2266" w:type="dxa"/>
            <w:hideMark/>
          </w:tcPr>
          <w:p w14:paraId="0B56E1E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1F262B46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1656DEA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B94357D" w14:textId="77777777" w:rsidTr="00A54855">
        <w:trPr>
          <w:trHeight w:val="799"/>
        </w:trPr>
        <w:tc>
          <w:tcPr>
            <w:tcW w:w="1103" w:type="dxa"/>
            <w:hideMark/>
          </w:tcPr>
          <w:p w14:paraId="79C38E7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t>2.</w:t>
            </w:r>
          </w:p>
        </w:tc>
        <w:tc>
          <w:tcPr>
            <w:tcW w:w="3923" w:type="dxa"/>
            <w:hideMark/>
          </w:tcPr>
          <w:p w14:paraId="5E3E4313" w14:textId="057A71CA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nastavitelný průtok dialyzačního roztoku v rozmezí </w:t>
            </w:r>
            <w:proofErr w:type="gramStart"/>
            <w:r w:rsidR="0060605F">
              <w:rPr>
                <w:rFonts w:eastAsia="Calibri" w:cs="Arial"/>
                <w:sz w:val="20"/>
              </w:rPr>
              <w:t>1</w:t>
            </w:r>
            <w:r w:rsidRPr="00484E5F">
              <w:rPr>
                <w:rFonts w:eastAsia="Calibri" w:cs="Arial"/>
                <w:sz w:val="20"/>
              </w:rPr>
              <w:t>00 – 800</w:t>
            </w:r>
            <w:proofErr w:type="gramEnd"/>
            <w:r w:rsidRPr="00484E5F">
              <w:rPr>
                <w:rFonts w:eastAsia="Calibri" w:cs="Arial"/>
                <w:sz w:val="20"/>
              </w:rPr>
              <w:t xml:space="preserve"> ml/min </w:t>
            </w:r>
          </w:p>
        </w:tc>
        <w:tc>
          <w:tcPr>
            <w:tcW w:w="2266" w:type="dxa"/>
            <w:hideMark/>
          </w:tcPr>
          <w:p w14:paraId="15A01EE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3ACD2B3A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10 bodů</w:t>
            </w:r>
          </w:p>
        </w:tc>
        <w:tc>
          <w:tcPr>
            <w:tcW w:w="703" w:type="dxa"/>
            <w:hideMark/>
          </w:tcPr>
          <w:p w14:paraId="6C001E38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5BA1AA54" w14:textId="77777777" w:rsidTr="00A54855">
        <w:trPr>
          <w:trHeight w:val="799"/>
        </w:trPr>
        <w:tc>
          <w:tcPr>
            <w:tcW w:w="1103" w:type="dxa"/>
            <w:hideMark/>
          </w:tcPr>
          <w:p w14:paraId="5FD4F305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3.</w:t>
            </w:r>
          </w:p>
        </w:tc>
        <w:tc>
          <w:tcPr>
            <w:tcW w:w="3923" w:type="dxa"/>
            <w:hideMark/>
          </w:tcPr>
          <w:p w14:paraId="077BF54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integrovaná funkce detekce dislokace venózní jehly na podkladě změn průběhu krevního tlaku ve venózní části setu v rámci nastavených alarmových mezí </w:t>
            </w:r>
          </w:p>
        </w:tc>
        <w:tc>
          <w:tcPr>
            <w:tcW w:w="2266" w:type="dxa"/>
            <w:hideMark/>
          </w:tcPr>
          <w:p w14:paraId="397CDB2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05EFB8B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588E06A4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1C9A846F" w14:textId="77777777" w:rsidTr="00A54855">
        <w:trPr>
          <w:trHeight w:val="799"/>
        </w:trPr>
        <w:tc>
          <w:tcPr>
            <w:tcW w:w="1103" w:type="dxa"/>
            <w:hideMark/>
          </w:tcPr>
          <w:p w14:paraId="64102FCE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4.</w:t>
            </w:r>
          </w:p>
        </w:tc>
        <w:tc>
          <w:tcPr>
            <w:tcW w:w="3923" w:type="dxa"/>
            <w:hideMark/>
          </w:tcPr>
          <w:p w14:paraId="5C06E320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v přístroji integrovaná detekce paravazálního krvácení v rámci nastavených alarmových mezí venózního tlaku </w:t>
            </w:r>
          </w:p>
        </w:tc>
        <w:tc>
          <w:tcPr>
            <w:tcW w:w="2266" w:type="dxa"/>
            <w:hideMark/>
          </w:tcPr>
          <w:p w14:paraId="0F44350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46B3A87C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10 bodů</w:t>
            </w:r>
          </w:p>
        </w:tc>
        <w:tc>
          <w:tcPr>
            <w:tcW w:w="703" w:type="dxa"/>
            <w:hideMark/>
          </w:tcPr>
          <w:p w14:paraId="75536D7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1CDA7F20" w14:textId="77777777" w:rsidTr="00A54855">
        <w:trPr>
          <w:trHeight w:val="799"/>
        </w:trPr>
        <w:tc>
          <w:tcPr>
            <w:tcW w:w="1103" w:type="dxa"/>
            <w:hideMark/>
          </w:tcPr>
          <w:p w14:paraId="6ED75DE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bCs/>
                <w:sz w:val="20"/>
              </w:rPr>
            </w:pPr>
            <w:r w:rsidRPr="00484E5F">
              <w:rPr>
                <w:rFonts w:eastAsia="Calibri" w:cs="Arial"/>
                <w:bCs/>
                <w:sz w:val="20"/>
              </w:rPr>
              <w:lastRenderedPageBreak/>
              <w:t>5.</w:t>
            </w:r>
          </w:p>
        </w:tc>
        <w:tc>
          <w:tcPr>
            <w:tcW w:w="3923" w:type="dxa"/>
            <w:hideMark/>
          </w:tcPr>
          <w:p w14:paraId="57396C7C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HW a SW integrované měření recirkulace a stanovení průtoku krve cevním přístupem </w:t>
            </w:r>
          </w:p>
        </w:tc>
        <w:tc>
          <w:tcPr>
            <w:tcW w:w="2266" w:type="dxa"/>
            <w:hideMark/>
          </w:tcPr>
          <w:p w14:paraId="5103B2A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15EA8AB1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61D754BB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  <w:tr w:rsidR="00484E5F" w:rsidRPr="00484E5F" w14:paraId="08AB9F09" w14:textId="77777777" w:rsidTr="00A54855">
        <w:trPr>
          <w:trHeight w:val="799"/>
        </w:trPr>
        <w:tc>
          <w:tcPr>
            <w:tcW w:w="1103" w:type="dxa"/>
            <w:hideMark/>
          </w:tcPr>
          <w:p w14:paraId="054BA56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6.</w:t>
            </w:r>
          </w:p>
        </w:tc>
        <w:tc>
          <w:tcPr>
            <w:tcW w:w="3923" w:type="dxa"/>
            <w:hideMark/>
          </w:tcPr>
          <w:p w14:paraId="42150B6D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 xml:space="preserve">automaticky nastavitelná průběžná regulace optimalizace průtoku dialyzačního roztoku dle efektivního krevního průtoku bez klinicky významného poklesu Kt/V </w:t>
            </w:r>
          </w:p>
        </w:tc>
        <w:tc>
          <w:tcPr>
            <w:tcW w:w="2266" w:type="dxa"/>
            <w:hideMark/>
          </w:tcPr>
          <w:p w14:paraId="3C64387A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 </w:t>
            </w:r>
          </w:p>
        </w:tc>
        <w:tc>
          <w:tcPr>
            <w:tcW w:w="2059" w:type="dxa"/>
            <w:hideMark/>
          </w:tcPr>
          <w:p w14:paraId="6BD77F07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20 bodů</w:t>
            </w:r>
          </w:p>
        </w:tc>
        <w:tc>
          <w:tcPr>
            <w:tcW w:w="703" w:type="dxa"/>
            <w:hideMark/>
          </w:tcPr>
          <w:p w14:paraId="45312029" w14:textId="77777777" w:rsidR="00484E5F" w:rsidRPr="00484E5F" w:rsidRDefault="00484E5F" w:rsidP="00484E5F">
            <w:pPr>
              <w:spacing w:after="160" w:line="276" w:lineRule="auto"/>
              <w:ind w:left="720"/>
              <w:contextualSpacing/>
              <w:jc w:val="both"/>
              <w:rPr>
                <w:rFonts w:eastAsia="Calibri" w:cs="Arial"/>
                <w:sz w:val="20"/>
              </w:rPr>
            </w:pPr>
            <w:r w:rsidRPr="00484E5F">
              <w:rPr>
                <w:rFonts w:eastAsia="Calibri" w:cs="Arial"/>
                <w:sz w:val="20"/>
              </w:rPr>
              <w:t>0 bodů</w:t>
            </w:r>
          </w:p>
        </w:tc>
      </w:tr>
    </w:tbl>
    <w:p w14:paraId="3B00E374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2C22A20C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  <w:r w:rsidRPr="00484E5F">
        <w:rPr>
          <w:rFonts w:eastAsia="Calibri" w:cs="Arial"/>
          <w:b/>
          <w:bCs/>
          <w:sz w:val="22"/>
          <w:u w:val="single"/>
        </w:rPr>
        <w:t>Mobilní úpravna vody na principu reverzní osmózy – 1 ks pro ARO v Nemocnici Chomutov o.z.</w:t>
      </w:r>
    </w:p>
    <w:p w14:paraId="47AF7615" w14:textId="77777777" w:rsidR="00484E5F" w:rsidRPr="00484E5F" w:rsidRDefault="00484E5F" w:rsidP="00484E5F">
      <w:pPr>
        <w:spacing w:line="240" w:lineRule="auto"/>
        <w:rPr>
          <w:rFonts w:eastAsia="Calibri" w:cs="Arial"/>
          <w:b/>
          <w:bCs/>
          <w:sz w:val="22"/>
          <w:u w:val="single"/>
        </w:rPr>
      </w:pPr>
    </w:p>
    <w:p w14:paraId="3151E7A9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2E3104AE" w14:textId="77777777" w:rsidR="00484E5F" w:rsidRPr="00484E5F" w:rsidRDefault="00484E5F" w:rsidP="00484E5F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298D493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mobilní úpravna vody na principu reverzní osmózy splňující požadavky na mikrobiologickou čistotu, technickou bezpečnost a ekonomičnost provozu </w:t>
      </w:r>
    </w:p>
    <w:p w14:paraId="2C3EEA86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jednoduchá obsluha a manipulace</w:t>
      </w:r>
    </w:p>
    <w:p w14:paraId="04B7CFDB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výkon: min. 50 l/hod při </w:t>
      </w:r>
      <w:proofErr w:type="gramStart"/>
      <w:r w:rsidRPr="00484E5F">
        <w:rPr>
          <w:rFonts w:eastAsia="Calibri" w:cs="Arial"/>
          <w:sz w:val="20"/>
          <w:szCs w:val="18"/>
        </w:rPr>
        <w:t>15°C</w:t>
      </w:r>
      <w:proofErr w:type="gramEnd"/>
      <w:r w:rsidRPr="00484E5F">
        <w:rPr>
          <w:rFonts w:eastAsia="Calibri" w:cs="Arial"/>
          <w:sz w:val="20"/>
          <w:szCs w:val="18"/>
        </w:rPr>
        <w:t xml:space="preserve"> a tlaku 1,5 bar </w:t>
      </w:r>
    </w:p>
    <w:p w14:paraId="1AADA860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automatický selftest při zapnutí</w:t>
      </w:r>
    </w:p>
    <w:p w14:paraId="13213DF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plně automatické čistící a dezinfekční programy </w:t>
      </w:r>
      <w:r w:rsidRPr="00484E5F">
        <w:rPr>
          <w:rFonts w:eastAsia="Calibri" w:cs="Arial"/>
          <w:b/>
          <w:sz w:val="20"/>
          <w:szCs w:val="18"/>
        </w:rPr>
        <w:t>horké dezinfekce</w:t>
      </w:r>
    </w:p>
    <w:p w14:paraId="7D533DCA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vysoká kvalita permeátu pomocí dezinfekce všech částí přicházejících do styku s permeátem</w:t>
      </w:r>
    </w:p>
    <w:p w14:paraId="7D766165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standardizované odběrové místo pro odběr vzorku permeátu</w:t>
      </w:r>
    </w:p>
    <w:p w14:paraId="41835900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pohotovostní režim stand-by a plně automatický proplach v režimu stand-by</w:t>
      </w:r>
    </w:p>
    <w:p w14:paraId="66FA31D6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možnost stand-by režimu s automatickou dezinfekcí bez připojení na přívod vody a odpad, bez přítomnosti bakterií a endotoxinů po dobu alespoň 20 dní s možností okamžitého použití</w:t>
      </w:r>
    </w:p>
    <w:p w14:paraId="2756BA9B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podsvícený displej pro zobrazení parametrů permeátu a úpravny vody</w:t>
      </w:r>
    </w:p>
    <w:p w14:paraId="45419A4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regenerace nespotřebovaného permeátu a koncentrátu</w:t>
      </w:r>
    </w:p>
    <w:p w14:paraId="00C9A5EA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chod přístroje s nízkou úrovní </w:t>
      </w:r>
      <w:proofErr w:type="gramStart"/>
      <w:r w:rsidRPr="00484E5F">
        <w:rPr>
          <w:rFonts w:eastAsia="Calibri" w:cs="Arial"/>
          <w:sz w:val="20"/>
          <w:szCs w:val="18"/>
        </w:rPr>
        <w:t>šumu - hlučnost</w:t>
      </w:r>
      <w:proofErr w:type="gramEnd"/>
      <w:r w:rsidRPr="00484E5F">
        <w:rPr>
          <w:rFonts w:eastAsia="Calibri" w:cs="Arial"/>
          <w:sz w:val="20"/>
          <w:szCs w:val="18"/>
        </w:rPr>
        <w:t xml:space="preserve"> méně než 46 dB(A)</w:t>
      </w:r>
    </w:p>
    <w:p w14:paraId="52EEB3FC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integrovaný předfiltr </w:t>
      </w:r>
    </w:p>
    <w:p w14:paraId="2A7BAA4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transportní vozík s </w:t>
      </w:r>
      <w:r w:rsidRPr="00484E5F">
        <w:rPr>
          <w:rFonts w:eastAsia="Calibri" w:cs="Arial"/>
          <w:b/>
          <w:sz w:val="20"/>
          <w:szCs w:val="18"/>
        </w:rPr>
        <w:t>předúpravou vody a změkčovačem</w:t>
      </w:r>
    </w:p>
    <w:p w14:paraId="65415CE2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celé zařízení umístěné na vozíku s madlem, s dobrou pojízdností a ovladatelností</w:t>
      </w:r>
    </w:p>
    <w:p w14:paraId="17952F2F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monitorování netěsností uvnitř systému</w:t>
      </w:r>
    </w:p>
    <w:p w14:paraId="513FD2D3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>v rámci dodávky jsou rychlospojky a hadice pro připojení dialyzačních přístrojů</w:t>
      </w:r>
    </w:p>
    <w:p w14:paraId="1887BDB3" w14:textId="77777777" w:rsidR="00484E5F" w:rsidRPr="00484E5F" w:rsidRDefault="00484E5F" w:rsidP="00484E5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úpravna vody musí splňovat požadavky normy ISO 23500:2011 Guidance for the preparation and quality management of fluids for haemodialysis and related therapies. Zadavatel připouští možnost nabídnutí jiného – rovnocenného řešení, které bude splňovat zadávací podmínky a sledovaný účel.   </w:t>
      </w:r>
    </w:p>
    <w:p w14:paraId="2A8535B9" w14:textId="77777777" w:rsidR="00484E5F" w:rsidRPr="00484E5F" w:rsidRDefault="00484E5F" w:rsidP="00484E5F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0"/>
          <w:szCs w:val="18"/>
        </w:rPr>
      </w:pPr>
      <w:r w:rsidRPr="00484E5F">
        <w:rPr>
          <w:rFonts w:eastAsia="Calibri" w:cs="Arial"/>
          <w:sz w:val="20"/>
          <w:szCs w:val="18"/>
        </w:rPr>
        <w:t xml:space="preserve">mobilní úpravna vody vč. výše uvedeného příslušenství musí umožňovat funkčnost s výše poptávaným dialyzačním přístrojem </w:t>
      </w:r>
      <w:r w:rsidRPr="00484E5F">
        <w:rPr>
          <w:rFonts w:eastAsia="Calibri" w:cs="Arial"/>
          <w:b/>
          <w:sz w:val="20"/>
          <w:szCs w:val="18"/>
        </w:rPr>
        <w:t>v části č. 2</w:t>
      </w:r>
    </w:p>
    <w:p w14:paraId="536ACECD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438C6B16" w14:textId="77777777" w:rsidR="00484E5F" w:rsidRPr="00484E5F" w:rsidRDefault="00484E5F" w:rsidP="00484E5F">
      <w:pPr>
        <w:spacing w:after="160" w:line="240" w:lineRule="auto"/>
        <w:jc w:val="both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84E5F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Základní technické požadavky na vázaný spotřební materiál pro část č. 2 tj. pro 5 dialyzačních přístrojů na 4 roky:</w:t>
      </w:r>
    </w:p>
    <w:p w14:paraId="7CF4F1F2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lastRenderedPageBreak/>
        <w:t>Dialyzační sety</w:t>
      </w:r>
    </w:p>
    <w:p w14:paraId="5BF2D1A4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Dialyzační sety bez obsahu ftalátů pro hemodialýzu s on-line plněním při přípravě dialyzačního monitoru (bez potřeby vaků s NaCl) kompatibilní s přístroji, které budou předmětem nabídky. V předpokládaném množství 6 500 ks/ 4 roky.</w:t>
      </w:r>
    </w:p>
    <w:p w14:paraId="0D615CD1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Dialyzační sety bez obsahu ftalátů pro on-line pre i post diluční hemodiafiltraci s on-line plněním při přípravě dialyzačního monitoru (bez potřeby vaků s NaCl) kompatibilní s přístroji, které budou předmětem nabídky. V předpokládaném množství 6 500 ks/ 4 roky.</w:t>
      </w:r>
    </w:p>
    <w:p w14:paraId="6B328867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0CA7C664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Bikarbonátový dialyzační koncentrát</w:t>
      </w:r>
    </w:p>
    <w:p w14:paraId="1B729E42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Bikarbonátové patrony pro hemodialýzu (min. 650 g) kompatibilní s přístroji, které budou předmětem nabídky. V předpokládaném množství 6 500 ks/ 4 roky.</w:t>
      </w:r>
    </w:p>
    <w:p w14:paraId="172DF8BC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Bikarbonátové patrony pro on-line hemodiafiltraci (min. 750 g) kompatibilní s přístroji, které budou předmětem nabídky. V předpokládaném množství 6 500 ks/ 4 roky.</w:t>
      </w:r>
    </w:p>
    <w:p w14:paraId="59AC04F5" w14:textId="77777777" w:rsidR="00484E5F" w:rsidRPr="00484E5F" w:rsidRDefault="00484E5F" w:rsidP="00484E5F">
      <w:pPr>
        <w:spacing w:after="160" w:line="276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</w:p>
    <w:p w14:paraId="374721D7" w14:textId="77777777" w:rsidR="00484E5F" w:rsidRPr="00484E5F" w:rsidRDefault="00484E5F" w:rsidP="00484E5F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484E5F">
        <w:rPr>
          <w:rFonts w:eastAsia="Calibri" w:cs="Arial"/>
          <w:sz w:val="20"/>
          <w:szCs w:val="20"/>
          <w:u w:val="single"/>
        </w:rPr>
        <w:t>Pyrogenní filtry</w:t>
      </w:r>
    </w:p>
    <w:p w14:paraId="3EEA1218" w14:textId="77777777" w:rsidR="00484E5F" w:rsidRPr="00484E5F" w:rsidRDefault="00484E5F" w:rsidP="00484E5F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484E5F">
        <w:rPr>
          <w:rFonts w:eastAsia="Calibri" w:cs="Arial"/>
          <w:sz w:val="20"/>
          <w:szCs w:val="20"/>
        </w:rPr>
        <w:t>Pyrogenní filtry kompatibilní s přístroji, které budou předmětem nabídky. V předpokládaném množství odpovídajícím 13 000 terapiím/ 4 roky/ 5 ks.</w:t>
      </w: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34AC" w14:textId="77777777" w:rsidR="00215AA0" w:rsidRDefault="00215AA0" w:rsidP="004A044C">
      <w:pPr>
        <w:spacing w:line="240" w:lineRule="auto"/>
      </w:pPr>
      <w:r>
        <w:separator/>
      </w:r>
    </w:p>
  </w:endnote>
  <w:endnote w:type="continuationSeparator" w:id="0">
    <w:p w14:paraId="0C28837B" w14:textId="77777777" w:rsidR="00215AA0" w:rsidRDefault="00215A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B704" w14:textId="77777777" w:rsidR="00215AA0" w:rsidRDefault="00215AA0" w:rsidP="004A044C">
      <w:pPr>
        <w:spacing w:line="240" w:lineRule="auto"/>
      </w:pPr>
      <w:r>
        <w:separator/>
      </w:r>
    </w:p>
  </w:footnote>
  <w:footnote w:type="continuationSeparator" w:id="0">
    <w:p w14:paraId="2AEBF5F9" w14:textId="77777777" w:rsidR="00215AA0" w:rsidRDefault="00215A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84E5F">
      <w:rPr>
        <w:color w:val="A6A6A6"/>
        <w:sz w:val="16"/>
        <w:szCs w:val="16"/>
      </w:rPr>
      <w:tab/>
      <w:t xml:space="preserve">Stránka </w:t>
    </w:r>
    <w:r w:rsidRPr="00484E5F">
      <w:rPr>
        <w:b/>
        <w:bCs/>
        <w:color w:val="A6A6A6"/>
        <w:sz w:val="16"/>
        <w:szCs w:val="16"/>
      </w:rPr>
      <w:fldChar w:fldCharType="begin"/>
    </w:r>
    <w:r w:rsidRPr="00484E5F">
      <w:rPr>
        <w:b/>
        <w:bCs/>
        <w:color w:val="A6A6A6"/>
        <w:sz w:val="16"/>
        <w:szCs w:val="16"/>
      </w:rPr>
      <w:instrText>PAGE  \* Arabic  \* MERGEFORMAT</w:instrText>
    </w:r>
    <w:r w:rsidRPr="00484E5F">
      <w:rPr>
        <w:b/>
        <w:bCs/>
        <w:color w:val="A6A6A6"/>
        <w:sz w:val="16"/>
        <w:szCs w:val="16"/>
      </w:rPr>
      <w:fldChar w:fldCharType="separate"/>
    </w:r>
    <w:r w:rsidR="007F7BD1" w:rsidRPr="00484E5F">
      <w:rPr>
        <w:b/>
        <w:bCs/>
        <w:noProof/>
        <w:color w:val="A6A6A6"/>
        <w:sz w:val="16"/>
        <w:szCs w:val="16"/>
      </w:rPr>
      <w:t>1</w:t>
    </w:r>
    <w:r w:rsidRPr="00484E5F">
      <w:rPr>
        <w:b/>
        <w:bCs/>
        <w:color w:val="A6A6A6"/>
        <w:sz w:val="16"/>
        <w:szCs w:val="16"/>
      </w:rPr>
      <w:fldChar w:fldCharType="end"/>
    </w:r>
    <w:r w:rsidRPr="00484E5F">
      <w:rPr>
        <w:color w:val="A6A6A6"/>
        <w:sz w:val="16"/>
        <w:szCs w:val="16"/>
      </w:rPr>
      <w:t xml:space="preserve"> z </w:t>
    </w:r>
    <w:r w:rsidRPr="00484E5F">
      <w:rPr>
        <w:b/>
        <w:bCs/>
        <w:color w:val="A6A6A6"/>
        <w:sz w:val="16"/>
        <w:szCs w:val="16"/>
      </w:rPr>
      <w:fldChar w:fldCharType="begin"/>
    </w:r>
    <w:r w:rsidRPr="00484E5F">
      <w:rPr>
        <w:b/>
        <w:bCs/>
        <w:color w:val="A6A6A6"/>
        <w:sz w:val="16"/>
        <w:szCs w:val="16"/>
      </w:rPr>
      <w:instrText>NUMPAGES  \* Arabic  \* MERGEFORMAT</w:instrText>
    </w:r>
    <w:r w:rsidRPr="00484E5F">
      <w:rPr>
        <w:b/>
        <w:bCs/>
        <w:color w:val="A6A6A6"/>
        <w:sz w:val="16"/>
        <w:szCs w:val="16"/>
      </w:rPr>
      <w:fldChar w:fldCharType="separate"/>
    </w:r>
    <w:r w:rsidR="007F7BD1" w:rsidRPr="00484E5F">
      <w:rPr>
        <w:b/>
        <w:bCs/>
        <w:noProof/>
        <w:color w:val="A6A6A6"/>
        <w:sz w:val="16"/>
        <w:szCs w:val="16"/>
      </w:rPr>
      <w:t>1</w:t>
    </w:r>
    <w:r w:rsidRPr="00484E5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0C739A"/>
    <w:multiLevelType w:val="hybridMultilevel"/>
    <w:tmpl w:val="391A0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848"/>
    <w:multiLevelType w:val="hybridMultilevel"/>
    <w:tmpl w:val="1AEAF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15AA0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C5242"/>
    <w:rsid w:val="003D4DF8"/>
    <w:rsid w:val="00462009"/>
    <w:rsid w:val="0047111E"/>
    <w:rsid w:val="00484E5F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605F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162F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48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40</TotalTime>
  <Pages>6</Pages>
  <Words>1345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2025-08-11T12:39:00Z</cp:lastPrinted>
  <dcterms:created xsi:type="dcterms:W3CDTF">2025-05-14T05:55:00Z</dcterms:created>
  <dcterms:modified xsi:type="dcterms:W3CDTF">2026-01-08T11:00:00Z</dcterms:modified>
</cp:coreProperties>
</file>