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lang w:eastAsia="cs-CZ"/>
        </w:rPr>
      </w:pPr>
    </w:p>
    <w:p>
      <w:pPr>
        <w:pStyle w:val="Oznaensmluvnchstran"/>
        <w:rPr>
          <w:b/>
        </w:rPr>
      </w:pPr>
      <w:permStart w:id="45118127" w:edGrp="everyone"/>
      <w:r>
        <w:rPr>
          <w:b/>
        </w:rPr>
        <w:t>(</w:t>
      </w:r>
      <w:r>
        <w:rPr>
          <w:b/>
          <w:i/>
          <w:color w:val="00B0F0"/>
        </w:rPr>
        <w:t>doplní zhotovitel</w:t>
      </w:r>
      <w:r>
        <w:rPr>
          <w:b/>
        </w:rPr>
        <w:t>)</w:t>
      </w:r>
    </w:p>
    <w:p>
      <w:pPr>
        <w:pStyle w:val="Oznaensmluvnchstran"/>
      </w:pPr>
      <w:r>
        <w:t>se sídlem:</w:t>
      </w:r>
      <w:r>
        <w:tab/>
        <w:t>(</w:t>
      </w:r>
      <w:r>
        <w:rPr>
          <w:i/>
          <w:color w:val="00B0F0"/>
        </w:rPr>
        <w:t>doplní zhotovitel</w:t>
      </w:r>
      <w:r>
        <w:t>)</w:t>
      </w:r>
    </w:p>
    <w:p>
      <w:pPr>
        <w:pStyle w:val="Oznaensmluvnchstran"/>
      </w:pPr>
      <w:r>
        <w:t>IČO:</w:t>
      </w:r>
      <w:r>
        <w:tab/>
        <w:t>(</w:t>
      </w:r>
      <w:r>
        <w:rPr>
          <w:i/>
          <w:color w:val="00B0F0"/>
        </w:rPr>
        <w:t>doplní zhotovitel</w:t>
      </w:r>
      <w:r>
        <w:t>)</w:t>
      </w:r>
    </w:p>
    <w:p>
      <w:pPr>
        <w:pStyle w:val="Oznaensmluvnchstran"/>
      </w:pPr>
      <w:r>
        <w:t>DIČ:</w:t>
      </w:r>
      <w:r>
        <w:tab/>
        <w:t>(</w:t>
      </w:r>
      <w:r>
        <w:rPr>
          <w:i/>
          <w:color w:val="00B0F0"/>
        </w:rPr>
        <w:t>doplní zhotovitel</w:t>
      </w:r>
      <w:r>
        <w:t>)</w:t>
      </w:r>
    </w:p>
    <w:p>
      <w:pPr>
        <w:pStyle w:val="Oznaensmluvnchstran"/>
      </w:pPr>
      <w:r>
        <w:t>zastoupená:</w:t>
      </w:r>
      <w:r>
        <w:tab/>
        <w:t>(</w:t>
      </w:r>
      <w:r>
        <w:rPr>
          <w:i/>
          <w:color w:val="00B0F0"/>
        </w:rPr>
        <w:t>doplní zhotovitel</w:t>
      </w:r>
      <w:r>
        <w:t>)</w:t>
      </w:r>
    </w:p>
    <w:p>
      <w:pPr>
        <w:pStyle w:val="Oznaensmluvnchstran"/>
      </w:pPr>
      <w:r>
        <w:t>zapsána v obchodním rejstříku vedeném (</w:t>
      </w:r>
      <w:r>
        <w:rPr>
          <w:i/>
          <w:color w:val="00B0F0"/>
        </w:rPr>
        <w:t>doplní zhotovitel</w:t>
      </w:r>
      <w:r>
        <w:t>) soudem (</w:t>
      </w:r>
      <w:r>
        <w:rPr>
          <w:i/>
          <w:color w:val="00B0F0"/>
        </w:rPr>
        <w:t>doplní zhotovitel</w:t>
      </w:r>
      <w:r>
        <w:t>), oddíl (</w:t>
      </w:r>
      <w:r>
        <w:rPr>
          <w:i/>
          <w:color w:val="00B0F0"/>
        </w:rPr>
        <w:t>doplní zhotovitel</w:t>
      </w:r>
      <w:r>
        <w:t>), vložka (</w:t>
      </w:r>
      <w:r>
        <w:rPr>
          <w:i/>
          <w:color w:val="00B0F0"/>
        </w:rPr>
        <w:t>doplní zhotovitel</w:t>
      </w:r>
      <w:r>
        <w:t>)</w:t>
      </w:r>
    </w:p>
    <w:p>
      <w:pPr>
        <w:pStyle w:val="Oznaensmluvnchstran"/>
      </w:pPr>
      <w:r>
        <w:t>bankovní spojení:</w:t>
      </w:r>
      <w:r>
        <w:tab/>
        <w:t>(</w:t>
      </w:r>
      <w:r>
        <w:rPr>
          <w:i/>
          <w:color w:val="00B0F0"/>
        </w:rPr>
        <w:t>doplní zhotovitel</w:t>
      </w:r>
      <w:r>
        <w:t>)</w:t>
      </w:r>
    </w:p>
    <w:p>
      <w:pPr>
        <w:pStyle w:val="Oznaensmluvnchstran"/>
      </w:pPr>
      <w:r>
        <w:t>č. účtu:</w:t>
      </w:r>
      <w:r>
        <w:tab/>
        <w:t>(</w:t>
      </w:r>
      <w:r>
        <w:rPr>
          <w:i/>
          <w:color w:val="00B0F0"/>
        </w:rPr>
        <w:t>doplní zhotovitel</w:t>
      </w:r>
      <w:r>
        <w:t>)</w:t>
      </w:r>
    </w:p>
    <w:p>
      <w:pPr>
        <w:pStyle w:val="Oznaensmluvnchstran"/>
      </w:pPr>
      <w:r>
        <w:t>kontaktní osoba:</w:t>
      </w:r>
      <w:r>
        <w:tab/>
        <w:t>(</w:t>
      </w:r>
      <w:r>
        <w:rPr>
          <w:i/>
          <w:color w:val="00B0F0"/>
        </w:rPr>
        <w:t>doplní zhotovitel</w:t>
      </w:r>
      <w:r>
        <w:t>)</w:t>
      </w:r>
    </w:p>
    <w:p>
      <w:pPr>
        <w:pStyle w:val="Oznaensmluvnchstran"/>
      </w:pPr>
      <w:r>
        <w:t xml:space="preserve"> </w:t>
      </w:r>
      <w:permEnd w:id="45118127"/>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rPr>
          <w:lang w:eastAsia="cs-CZ"/>
        </w:rPr>
      </w:pPr>
      <w:r>
        <w:t>zastoupená:</w:t>
      </w:r>
      <w:r>
        <w:tab/>
      </w:r>
      <w:permStart w:id="1228820216" w:edGrp="everyone"/>
      <w:r>
        <w:rPr>
          <w:lang w:eastAsia="cs-CZ"/>
        </w:rPr>
        <w:t>MUDr. Tomáš Hrubý, generální ředitel</w:t>
      </w:r>
    </w:p>
    <w:permEnd w:id="1228820216"/>
    <w:p>
      <w:pPr>
        <w:pStyle w:val="Oznaensmluvnchstran"/>
      </w:pPr>
      <w:r>
        <w:t>zapsána v obchodním rejstříku vedeném Krajským soudem v Ústí nad Labem, oddíl B, vložka 1550</w:t>
      </w:r>
    </w:p>
    <w:p>
      <w:pPr>
        <w:pStyle w:val="Oznaensmluvnchstran"/>
      </w:pPr>
      <w:r>
        <w:t>bankovní spojení:</w:t>
      </w:r>
      <w:r>
        <w:tab/>
        <w:t>ČSOB, a. s.</w:t>
      </w:r>
    </w:p>
    <w:p>
      <w:pPr>
        <w:pStyle w:val="Oznaensmluvnchstran"/>
      </w:pPr>
      <w:r>
        <w:t>č. účtu:</w:t>
      </w:r>
      <w:r>
        <w:tab/>
        <w:t>216686400/0300</w:t>
      </w:r>
    </w:p>
    <w:p>
      <w:pPr>
        <w:pStyle w:val="Oznaensmluvnchstran"/>
        <w:rPr>
          <w:rStyle w:val="Odkaznakoment"/>
        </w:rPr>
      </w:pPr>
      <w:r>
        <w:t>kontaktní údaje:</w:t>
      </w:r>
      <w:r>
        <w:tab/>
        <w:t xml:space="preserve">tel: 477114105, 477114106, e-mail: </w:t>
      </w:r>
      <w:hyperlink r:id="rId8" w:history="1">
        <w:r>
          <w:rPr>
            <w:rStyle w:val="Hypertextovodkaz"/>
          </w:rPr>
          <w:t>sekretariat@kzcr.eu</w:t>
        </w:r>
      </w:hyperlink>
    </w:p>
    <w:p>
      <w:pPr>
        <w:pStyle w:val="Oznaensmluvnchstran"/>
      </w:pPr>
      <w:r>
        <w:rPr>
          <w:rStyle w:val="Odkaznakoment"/>
          <w:sz w:val="20"/>
          <w:szCs w:val="20"/>
        </w:rPr>
        <w:t xml:space="preserve"> </w:t>
      </w: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bCs/>
          <w:iCs/>
        </w:rPr>
      </w:pPr>
      <w:r>
        <w:t xml:space="preserve">uzavírají níže uvedeného dne na základě poptávkového řízení s názvem </w:t>
      </w:r>
      <w:permStart w:id="188035061" w:edGrp="everyone"/>
      <w:r>
        <w:rPr>
          <w:b/>
          <w:bCs/>
          <w:iCs/>
        </w:rPr>
        <w:t xml:space="preserve">„Výzva č. 17: Kompletní oprava výtahu č. 13 pro HELIPORT, včetně následného pozáručního servisu v Masarykově nemocnici v Ústí nad Labem, </w:t>
      </w:r>
      <w:proofErr w:type="spellStart"/>
      <w:r>
        <w:rPr>
          <w:b/>
          <w:bCs/>
          <w:iCs/>
        </w:rPr>
        <w:t>o.z</w:t>
      </w:r>
      <w:proofErr w:type="spellEnd"/>
      <w:r>
        <w:rPr>
          <w:b/>
          <w:bCs/>
          <w:iCs/>
        </w:rPr>
        <w:t xml:space="preserve">.“ </w:t>
      </w:r>
    </w:p>
    <w:p>
      <w:pPr>
        <w:pStyle w:val="Oznaensmluvnchstran"/>
        <w:ind w:left="0" w:firstLine="0"/>
        <w:jc w:val="center"/>
        <w:rPr>
          <w:b/>
          <w:bCs/>
        </w:rPr>
      </w:pPr>
      <w:r>
        <w:rPr>
          <w:b/>
          <w:bCs/>
        </w:rPr>
        <w:t>(čerpání rezervy 2023–24 pod č. 7_UL_23/24)</w:t>
      </w:r>
    </w:p>
    <w:permEnd w:id="188035061"/>
    <w:p>
      <w:pPr>
        <w:pStyle w:val="Oznaensmluvnchstran"/>
        <w:ind w:left="0" w:firstLine="0"/>
        <w:jc w:val="center"/>
      </w:pPr>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16"/>
          <w:szCs w:val="16"/>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Pr>
          <w:sz w:val="20"/>
          <w:lang w:eastAsia="cs-CZ"/>
        </w:rPr>
        <w:t xml:space="preserve"> </w:t>
      </w:r>
      <w:permStart w:id="1103638519" w:edGrp="everyone"/>
      <w:r>
        <w:rPr>
          <w:rFonts w:ascii="Arial" w:hAnsi="Arial" w:cs="Arial"/>
          <w:bCs/>
          <w:color w:val="000000"/>
          <w:sz w:val="20"/>
        </w:rPr>
        <w:t xml:space="preserve">kompletní oprava výtahu č. 13 pro Heliport, zejména výměna pohonu výtahového stroje včetně podložení, celková výměna elektroinstalace a mechanických komponentů včetně lan kabiny, rozšíření kabiny s provedením systému ANTIVANDAL, výměna ovládacích a signalizačních prvků, výměna šachetních a kabinových dveří se zesílenými ocelovými prahy pro zajištění nepoškození těžšími vozíky, </w:t>
      </w:r>
      <w:r>
        <w:rPr>
          <w:rFonts w:ascii="Arial" w:hAnsi="Arial" w:cs="Arial"/>
          <w:sz w:val="20"/>
        </w:rPr>
        <w:t xml:space="preserve">v areálu odštěpného závodu objednatele Krajská zdravotní, a.s. – Masarykova nemocnice v Ústí nad Labem, </w:t>
      </w:r>
      <w:proofErr w:type="spellStart"/>
      <w:r>
        <w:rPr>
          <w:rFonts w:ascii="Arial" w:hAnsi="Arial" w:cs="Arial"/>
          <w:sz w:val="20"/>
        </w:rPr>
        <w:t>o.z</w:t>
      </w:r>
      <w:proofErr w:type="spellEnd"/>
      <w:r>
        <w:rPr>
          <w:rFonts w:ascii="Arial" w:hAnsi="Arial" w:cs="Arial"/>
          <w:sz w:val="20"/>
        </w:rPr>
        <w:t>.</w:t>
      </w:r>
      <w:r>
        <w:rPr>
          <w:rFonts w:ascii="Arial" w:hAnsi="Arial" w:cs="Arial"/>
          <w:b/>
          <w:bCs/>
          <w:color w:val="000000"/>
          <w:sz w:val="20"/>
        </w:rPr>
        <w:t>.</w:t>
      </w:r>
      <w:permEnd w:id="1103638519"/>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rozsahu a kvalitě dle cenové nabídky, která tvoří přílohu č.1 této smlouvy,</w:t>
      </w:r>
    </w:p>
    <w:p>
      <w:pPr>
        <w:pStyle w:val="ZkladntextIMP"/>
        <w:numPr>
          <w:ilvl w:val="0"/>
          <w:numId w:val="6"/>
        </w:numPr>
        <w:jc w:val="both"/>
        <w:rPr>
          <w:rFonts w:ascii="Arial" w:hAnsi="Arial" w:cs="Arial"/>
          <w:sz w:val="20"/>
        </w:rPr>
      </w:pPr>
      <w:r>
        <w:rPr>
          <w:rFonts w:ascii="Arial" w:hAnsi="Arial" w:cs="Arial"/>
          <w:sz w:val="20"/>
        </w:rPr>
        <w:t>postupem, který je v souladu s veškerými zadávacími podklady, s právními předpisy a s ustanoveními této smlouvy,</w:t>
      </w:r>
    </w:p>
    <w:p>
      <w:pPr>
        <w:pStyle w:val="ZkladntextIMP"/>
        <w:numPr>
          <w:ilvl w:val="0"/>
          <w:numId w:val="6"/>
        </w:numPr>
        <w:jc w:val="both"/>
        <w:rPr>
          <w:rFonts w:ascii="Arial" w:hAnsi="Arial" w:cs="Arial"/>
          <w:sz w:val="20"/>
        </w:rPr>
      </w:pPr>
      <w:r>
        <w:rPr>
          <w:rFonts w:ascii="Arial" w:hAnsi="Arial" w:cs="Arial"/>
          <w:sz w:val="20"/>
        </w:rPr>
        <w:t xml:space="preserve">řádně a s náležitou odbornou péčí, </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6"/>
        </w:numPr>
        <w:jc w:val="both"/>
        <w:rPr>
          <w:rFonts w:ascii="Arial" w:hAnsi="Arial" w:cs="Arial"/>
          <w:sz w:val="20"/>
        </w:rPr>
      </w:pPr>
      <w:r>
        <w:rPr>
          <w:rFonts w:ascii="Arial" w:hAnsi="Arial" w:cs="Arial"/>
          <w:sz w:val="20"/>
        </w:rPr>
        <w:t xml:space="preserve">včetně zajištění likvidace vzniklých odpadů v souladu s příslušnými právními předpisy. </w:t>
      </w:r>
    </w:p>
    <w:p>
      <w:pPr>
        <w:pStyle w:val="ZkladntextIMP"/>
        <w:numPr>
          <w:ilvl w:val="0"/>
          <w:numId w:val="5"/>
        </w:numPr>
        <w:ind w:left="426" w:hanging="426"/>
        <w:jc w:val="both"/>
        <w:rPr>
          <w:rFonts w:ascii="Arial" w:hAnsi="Arial" w:cs="Arial"/>
          <w:b/>
          <w:sz w:val="20"/>
        </w:rPr>
      </w:pPr>
      <w:r>
        <w:rPr>
          <w:rFonts w:ascii="Arial" w:hAnsi="Arial" w:cs="Arial"/>
          <w:sz w:val="20"/>
        </w:rPr>
        <w:lastRenderedPageBreak/>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58229156" w:edGrp="everyone"/>
      <w:permEnd w:id="158229156"/>
      <w:r>
        <w:rPr>
          <w:rFonts w:ascii="Arial" w:hAnsi="Arial" w:cs="Arial"/>
          <w:sz w:val="20"/>
        </w:rPr>
        <w:t>.</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proofErr w:type="spellStart"/>
      <w:r>
        <w:rPr>
          <w:rFonts w:ascii="Arial" w:hAnsi="Arial" w:cs="Arial"/>
          <w:b w:val="0"/>
          <w:i w:val="0"/>
          <w:sz w:val="20"/>
          <w:szCs w:val="20"/>
        </w:rPr>
        <w:t>bjednatele</w:t>
      </w:r>
      <w:proofErr w:type="spellEnd"/>
      <w:r>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proofErr w:type="spellStart"/>
      <w:r>
        <w:rPr>
          <w:rFonts w:ascii="Arial" w:hAnsi="Arial" w:cs="Arial"/>
          <w:b w:val="0"/>
          <w:i w:val="0"/>
          <w:sz w:val="20"/>
          <w:szCs w:val="20"/>
        </w:rPr>
        <w:t>bjednatelem</w:t>
      </w:r>
      <w:proofErr w:type="spellEnd"/>
      <w:r>
        <w:rPr>
          <w:rFonts w:ascii="Arial" w:hAnsi="Arial" w:cs="Arial"/>
          <w:b w:val="0"/>
          <w:i w:val="0"/>
          <w:sz w:val="20"/>
          <w:szCs w:val="20"/>
          <w:lang w:val="cs-CZ"/>
        </w:rPr>
        <w:t>.</w:t>
      </w:r>
    </w:p>
    <w:p>
      <w:pPr>
        <w:pStyle w:val="Zkladntext"/>
        <w:spacing w:line="276" w:lineRule="auto"/>
        <w:rPr>
          <w:sz w:val="16"/>
          <w:szCs w:val="16"/>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472481654" w:edGrp="everyone"/>
      <w:r>
        <w:t xml:space="preserve"> </w:t>
      </w:r>
      <w:r>
        <w:rPr>
          <w:i/>
          <w:color w:val="00B0F0"/>
        </w:rPr>
        <w:t>doplní zhotovitel</w:t>
      </w:r>
      <w:r>
        <w:rPr>
          <w:color w:val="00B0F0"/>
        </w:rPr>
        <w:t xml:space="preserve">  </w:t>
      </w:r>
      <w:permEnd w:id="472481654"/>
      <w:r>
        <w:t xml:space="preserve">Kč bez daně z přidané hodnoty (dále jen „DPH“). </w:t>
      </w:r>
    </w:p>
    <w:p>
      <w:pPr>
        <w:pStyle w:val="slovanodstavec"/>
        <w:spacing w:after="0" w:line="240" w:lineRule="auto"/>
        <w:rPr>
          <w:lang w:eastAsia="cs-CZ"/>
        </w:rPr>
      </w:pPr>
      <w:permStart w:id="740588900" w:edGrp="everyone"/>
      <w:r>
        <w:rPr>
          <w:lang w:eastAsia="cs-CZ"/>
        </w:rPr>
        <w:t>K ceně díla bude připočtená DPH platná v den uskutečnění zdanitelného plnění a za její určení a vyčíslení v souladu s právními předpisy nese odpovědnost zhotovitel.</w:t>
      </w:r>
    </w:p>
    <w:p>
      <w:pPr>
        <w:pStyle w:val="slovanodstavec"/>
        <w:numPr>
          <w:ilvl w:val="0"/>
          <w:numId w:val="0"/>
        </w:numPr>
        <w:spacing w:after="0" w:line="240" w:lineRule="auto"/>
        <w:ind w:left="357"/>
        <w:rPr>
          <w:lang w:eastAsia="cs-CZ"/>
        </w:rPr>
      </w:pPr>
      <w:r>
        <w:rPr>
          <w:lang w:eastAsia="cs-CZ"/>
        </w:rPr>
        <w:t>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2023 – 2024</w:t>
      </w:r>
    </w:p>
    <w:p>
      <w:pPr>
        <w:pStyle w:val="slovanodstavec"/>
        <w:numPr>
          <w:ilvl w:val="0"/>
          <w:numId w:val="0"/>
        </w:numPr>
        <w:spacing w:after="0" w:line="240" w:lineRule="auto"/>
        <w:ind w:left="357"/>
        <w:rPr>
          <w:lang w:eastAsia="cs-CZ"/>
        </w:rPr>
      </w:pPr>
      <w:r>
        <w:rPr>
          <w:lang w:eastAsia="cs-CZ"/>
        </w:rPr>
        <w:t>c)</w:t>
      </w:r>
      <w:r>
        <w:rPr>
          <w:lang w:eastAsia="cs-CZ"/>
        </w:rPr>
        <w:tab/>
        <w:t xml:space="preserve">pořadové číslo z přehledu rezerv – 7_UL_23/24.  </w:t>
      </w:r>
    </w:p>
    <w:permEnd w:id="740588900"/>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w:t>
      </w:r>
      <w:permStart w:id="227543427" w:edGrp="everyone"/>
      <w:r>
        <w:rPr>
          <w:lang w:eastAsia="cs-CZ"/>
        </w:rPr>
        <w:t xml:space="preserve">30 kalendářních dnů </w:t>
      </w:r>
      <w:permEnd w:id="227543427"/>
      <w:r>
        <w:rPr>
          <w:lang w:eastAsia="cs-CZ"/>
        </w:rPr>
        <w:t xml:space="preserve">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16"/>
          <w:szCs w:val="16"/>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Zhotovitel se zavazuje provést dílo do 2 měsíců od předání staveniště, tj. v uvedeném termínu musí být řádně dokončené dílo protokolárně předáno objednateli bez vad a nedodělků, rovněž musí být zhotovitelem vyklizeno a vyčištěno staveniště, zajištěna </w:t>
      </w:r>
      <w:r>
        <w:rPr>
          <w:rFonts w:ascii="Arial" w:hAnsi="Arial" w:cs="Arial"/>
          <w:color w:val="000000"/>
        </w:rPr>
        <w:t xml:space="preserve">likvidace odpadu, podepsání zápisu o jeho předání a převzetí ze strany objednatele, předání dokladů o předepsaných atestech, návodů </w:t>
      </w:r>
      <w:r>
        <w:rPr>
          <w:rFonts w:ascii="Arial" w:hAnsi="Arial" w:cs="Arial"/>
          <w:color w:val="000000"/>
        </w:rPr>
        <w:lastRenderedPageBreak/>
        <w:t xml:space="preserve">k obsluze a dokladu o zajištění likvidace odpadu vzniklého činností zhotovitele v souladu se zákonem č.541/2020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Staveniště bude zhotoviteli předáno v termínu dle provozních možností objednatele, s předpokladem předání v průběhu měsíců únor až květen 2026. Objednatel vyzve zhotovitele písemně k převzetí staveniště minimálně 14 kalendářních dní před předpokládaným datem možného převzetí staveniště.</w:t>
      </w:r>
      <w:r>
        <w:t xml:space="preserve"> </w:t>
      </w:r>
      <w:r>
        <w:rPr>
          <w:rFonts w:ascii="Arial" w:hAnsi="Arial" w:cs="Arial"/>
        </w:rPr>
        <w:t xml:space="preserve">Zhotovitel se zavazuje zahájit práce na opravě výtahu ihned po převzetí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Zhotovitel se zavazuje zahájit provádění díla spočívající v přípravě komponentů nutných k samotné realizaci opravy výtahu do 10 dnů od účinnosti smlouvy, tj. zahájit veškeré přípravné práce nutné pro provedení díla, které nevyžadují omezení provozu výtahu. Objednatel se zavazuje poskytnout zhotoviteli pro tyto přípravné práce potřebnou součinnost (tj. umožnit zhotoviteli provedení potřebných měření, a jiných přípravných prací potřebných pro přípravu komponentů).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provádět dílo tak, aby minimalizoval omezení provozu výtahu, přičemž omezení provozu musí být odsouhlaseno vždy objednatelem.</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472848005" w:edGrp="everyone"/>
      <w:r>
        <w:rPr>
          <w:rFonts w:ascii="Arial" w:hAnsi="Arial" w:cs="Arial"/>
        </w:rPr>
        <w:t>Masarykova nemocnice v Ústí nad Labem</w:t>
      </w:r>
      <w:permEnd w:id="472848005"/>
      <w:r>
        <w:rPr>
          <w:rFonts w:ascii="Arial" w:hAnsi="Arial" w:cs="Arial"/>
        </w:rPr>
        <w:t xml:space="preserve">, </w:t>
      </w:r>
      <w:proofErr w:type="spellStart"/>
      <w:proofErr w:type="gramStart"/>
      <w:r>
        <w:rPr>
          <w:rFonts w:ascii="Arial" w:hAnsi="Arial" w:cs="Arial"/>
        </w:rPr>
        <w:t>o.z</w:t>
      </w:r>
      <w:proofErr w:type="spellEnd"/>
      <w:r>
        <w:rPr>
          <w:rFonts w:ascii="Arial" w:hAnsi="Arial" w:cs="Arial"/>
        </w:rPr>
        <w:t>., adresa</w:t>
      </w:r>
      <w:proofErr w:type="gramEnd"/>
      <w:r>
        <w:rPr>
          <w:rFonts w:ascii="Arial" w:hAnsi="Arial" w:cs="Arial"/>
        </w:rPr>
        <w:t xml:space="preserve"> </w:t>
      </w:r>
      <w:permStart w:id="535063269" w:edGrp="everyone"/>
      <w:r>
        <w:rPr>
          <w:rFonts w:ascii="Arial" w:hAnsi="Arial" w:cs="Arial"/>
        </w:rPr>
        <w:t>Sociální péče 3316/12a</w:t>
      </w:r>
      <w:permEnd w:id="535063269"/>
      <w:r>
        <w:rPr>
          <w:rFonts w:ascii="Arial" w:hAnsi="Arial" w:cs="Arial"/>
        </w:rPr>
        <w:t xml:space="preserve">, </w:t>
      </w:r>
      <w:permStart w:id="555229086" w:edGrp="everyone"/>
      <w:r>
        <w:rPr>
          <w:rFonts w:ascii="Arial" w:hAnsi="Arial" w:cs="Arial"/>
        </w:rPr>
        <w:t xml:space="preserve"> Budova B </w:t>
      </w:r>
      <w:permEnd w:id="555229086"/>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130367454" w:edGrp="everyone"/>
      <w:r>
        <w:rPr>
          <w:rFonts w:ascii="Arial" w:hAnsi="Arial" w:cs="Arial"/>
          <w:i/>
          <w:color w:val="00B0F0"/>
        </w:rPr>
        <w:t xml:space="preserve">doplní </w:t>
      </w:r>
      <w:proofErr w:type="spellStart"/>
      <w:r>
        <w:rPr>
          <w:rFonts w:ascii="Arial" w:hAnsi="Arial" w:cs="Arial"/>
          <w:i/>
          <w:color w:val="00B0F0"/>
        </w:rPr>
        <w:t>zhotovitell</w:t>
      </w:r>
      <w:permEnd w:id="1130367454"/>
      <w:proofErr w:type="spellEnd"/>
      <w:r>
        <w:rPr>
          <w:rFonts w:ascii="Arial" w:hAnsi="Arial" w:cs="Arial"/>
        </w:rPr>
        <w:t xml:space="preserve">; osoba oprávněná podepsat předávací protokol za objednatele - </w:t>
      </w:r>
      <w:permStart w:id="1915055621" w:edGrp="everyone"/>
      <w:permStart w:id="958073353" w:edGrp="everyone"/>
      <w:r>
        <w:rPr>
          <w:rFonts w:ascii="Arial" w:hAnsi="Arial" w:cs="Arial"/>
          <w:i/>
          <w:color w:val="00B0F0"/>
        </w:rPr>
        <w:t xml:space="preserve"> </w:t>
      </w:r>
      <w:r>
        <w:rPr>
          <w:rFonts w:ascii="Arial" w:hAnsi="Arial" w:cs="Arial"/>
          <w:i/>
          <w:color w:val="00B0F0"/>
        </w:rPr>
        <w:t>dop</w:t>
      </w:r>
      <w:r>
        <w:rPr>
          <w:rFonts w:ascii="Arial" w:hAnsi="Arial" w:cs="Arial"/>
          <w:i/>
          <w:color w:val="00B0F0"/>
        </w:rPr>
        <w:t xml:space="preserve">lní </w:t>
      </w:r>
      <w:proofErr w:type="spellStart"/>
      <w:r>
        <w:rPr>
          <w:rFonts w:ascii="Arial" w:hAnsi="Arial" w:cs="Arial"/>
          <w:i/>
          <w:color w:val="00B0F0"/>
        </w:rPr>
        <w:t>objedna</w:t>
      </w:r>
      <w:r>
        <w:rPr>
          <w:rFonts w:ascii="Arial" w:hAnsi="Arial" w:cs="Arial"/>
          <w:i/>
          <w:color w:val="00B0F0"/>
        </w:rPr>
        <w:t>tell</w:t>
      </w:r>
      <w:permEnd w:id="958073353"/>
      <w:proofErr w:type="spellEnd"/>
      <w:r>
        <w:rPr>
          <w:rFonts w:ascii="Arial" w:hAnsi="Arial" w:cs="Arial"/>
        </w:rPr>
        <w:t xml:space="preserve"> </w:t>
      </w:r>
      <w:permEnd w:id="1915055621"/>
      <w:r>
        <w:rPr>
          <w:rFonts w:ascii="Arial" w:hAnsi="Arial" w:cs="Arial"/>
        </w:rPr>
        <w:t>.</w:t>
      </w:r>
    </w:p>
    <w:p>
      <w:pPr>
        <w:spacing w:line="276" w:lineRule="auto"/>
        <w:jc w:val="both"/>
        <w:rPr>
          <w:rFonts w:ascii="Arial" w:hAnsi="Arial" w:cs="Arial"/>
          <w:sz w:val="16"/>
          <w:szCs w:val="16"/>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Pr>
        <w:numPr>
          <w:ilvl w:val="0"/>
          <w:numId w:val="9"/>
        </w:numPr>
        <w:suppressAutoHyphens w:val="0"/>
        <w:overflowPunct/>
        <w:autoSpaceDE/>
        <w:ind w:left="426" w:hanging="426"/>
        <w:textAlignment w:val="auto"/>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16"/>
          <w:szCs w:val="16"/>
          <w:lang w:val="cs-CZ"/>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1924872601" w:edGrp="everyone"/>
      <w:r>
        <w:rPr>
          <w:rFonts w:ascii="Arial" w:hAnsi="Arial" w:cs="Arial"/>
        </w:rPr>
        <w:t xml:space="preserve">24 </w:t>
      </w:r>
      <w:permEnd w:id="1924872601"/>
      <w:r>
        <w:rPr>
          <w:rFonts w:ascii="Arial" w:hAnsi="Arial" w:cs="Arial"/>
        </w:rPr>
        <w:t>měsíců ode dne předání díla zhotovitelem a převzetím objednatelem.</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Vzhledem k tomu, že výtah obsluhuje heliport zavazuje se zhotovitel vady díla, které nebrání provozu výtahu   bezplatně odstranit do </w:t>
      </w:r>
      <w:permStart w:id="785396796" w:edGrp="everyone"/>
      <w:r>
        <w:rPr>
          <w:rFonts w:ascii="Arial" w:hAnsi="Arial" w:cs="Arial"/>
        </w:rPr>
        <w:t xml:space="preserve">14 </w:t>
      </w:r>
      <w:permEnd w:id="785396796"/>
      <w:r>
        <w:rPr>
          <w:rFonts w:ascii="Arial" w:hAnsi="Arial" w:cs="Arial"/>
        </w:rPr>
        <w:t xml:space="preserve">dní po doručení reklamace objednatelem, pokud se smluvní strany nedohodnou jinak. Pokud vada brání provozu výtahu je zhotovitel povinen odstranit vadu bezodkladně nejdéle do jednoho dne od doručení reklamace zhotoviteli. Reklamace bude zhotoviteli doručena na e-mail: </w:t>
      </w:r>
      <w:permStart w:id="2000490245" w:edGrp="everyone"/>
      <w:r>
        <w:rPr>
          <w:rFonts w:ascii="Arial" w:hAnsi="Arial" w:cs="Arial"/>
          <w:i/>
          <w:color w:val="00B0F0"/>
        </w:rPr>
        <w:t>doplní zhotovitel</w:t>
      </w:r>
      <w:permEnd w:id="2000490245"/>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Pr>
        <w:rPr>
          <w:sz w:val="16"/>
          <w:szCs w:val="16"/>
        </w:rPr>
      </w:pPr>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prodlení objednatele s úhradou ceny zhotoviteli přesáhne 15 dní po splatnosti faktury, je zhotovitel oprávněn požadovat po objednateli úrok z prodlení ve výši 0,01 %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1504124941" w:edGrp="everyone"/>
      <w:r>
        <w:rPr>
          <w:rFonts w:ascii="Arial" w:hAnsi="Arial" w:cs="Arial"/>
        </w:rPr>
        <w:t xml:space="preserve">Neodstraní-li zhotovitel reklamované vady díla v uvedené lhůtě, je objednatel oprávněn požadovat po zhotoviteli smluvní pokutu ve výši 0,2 % z ceny díla za každý den prodlení až do dne jejího odstranění. Označil-li objednatel v reklamaci, že se jedná o vadu, kdy hrozí nebezpečí škody </w:t>
      </w:r>
      <w:r>
        <w:rPr>
          <w:rFonts w:ascii="Arial" w:hAnsi="Arial" w:cs="Arial"/>
        </w:rPr>
        <w:lastRenderedPageBreak/>
        <w:t>velkého rozsahu (havárie) či neprovozuschopnosti výtahu, sjednávají obě smluvní strany smluvní pokutu ve dvojnásobné výši.</w:t>
      </w:r>
      <w:permEnd w:id="1504124941"/>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w:t>
      </w:r>
    </w:p>
    <w:p>
      <w:pPr>
        <w:spacing w:line="276" w:lineRule="auto"/>
        <w:rPr>
          <w:rFonts w:ascii="Arial" w:hAnsi="Arial" w:cs="Arial"/>
          <w:sz w:val="16"/>
          <w:szCs w:val="16"/>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vyhotovena ve 2 vyhotoveních s platností originálu, přičemž každá ze smluvních stran obdrží jedno vyhotovení.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w:t>
      </w:r>
      <w:proofErr w:type="spellStart"/>
      <w:r>
        <w:rPr>
          <w:rFonts w:ascii="Arial" w:hAnsi="Arial" w:cs="Arial"/>
        </w:rPr>
        <w:t>zákonem</w:t>
      </w:r>
      <w:proofErr w:type="spellEnd"/>
      <w:r>
        <w:rPr>
          <w:rFonts w:ascii="Arial" w:hAnsi="Arial" w:cs="Arial"/>
        </w:rPr>
        <w:t xml:space="preserve">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předá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Pro případ, že o zhotoviteli jako o poskytovateli zdanitelného plnění je zveřejněna způsobem umožňujícím dálkový přístup skutečnost, že je nespolehlivým plátcem DPH nebo nespolehlivou osobou, v souladu se zněním zákona o DPH, smluvní strany sjednávají, že za splnění závazku objednatel uhradit sjednanou cenu je považováno, uhradí-li objednatel částku ve výši daně na účet správce daně poskytovatele a zbývající část ceny zhotoviteli.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sz w:val="16"/>
          <w:szCs w:val="16"/>
          <w:lang w:eastAsia="cs-CZ"/>
        </w:rPr>
      </w:pPr>
    </w:p>
    <w:p>
      <w:pPr>
        <w:suppressAutoHyphens w:val="0"/>
        <w:overflowPunct/>
        <w:autoSpaceDE/>
        <w:spacing w:line="276" w:lineRule="auto"/>
        <w:jc w:val="both"/>
        <w:textAlignment w:val="auto"/>
        <w:rPr>
          <w:rFonts w:ascii="Arial" w:hAnsi="Arial" w:cs="Arial"/>
          <w:sz w:val="16"/>
          <w:szCs w:val="16"/>
          <w:lang w:eastAsia="cs-CZ"/>
        </w:rPr>
      </w:pPr>
    </w:p>
    <w:p>
      <w:pPr>
        <w:suppressAutoHyphens w:val="0"/>
        <w:overflowPunct/>
        <w:autoSpaceDE/>
        <w:spacing w:line="276" w:lineRule="auto"/>
        <w:jc w:val="both"/>
        <w:textAlignment w:val="auto"/>
        <w:rPr>
          <w:rFonts w:ascii="Arial" w:hAnsi="Arial" w:cs="Arial"/>
          <w:sz w:val="18"/>
          <w:szCs w:val="18"/>
          <w:lang w:eastAsia="cs-CZ"/>
        </w:rPr>
      </w:pPr>
      <w:r>
        <w:rPr>
          <w:rFonts w:ascii="Arial" w:hAnsi="Arial" w:cs="Arial"/>
          <w:sz w:val="18"/>
          <w:szCs w:val="18"/>
          <w:lang w:eastAsia="cs-CZ"/>
        </w:rPr>
        <w:t xml:space="preserve">Přílohy: </w:t>
      </w:r>
    </w:p>
    <w:p>
      <w:pPr>
        <w:suppressAutoHyphens w:val="0"/>
        <w:overflowPunct/>
        <w:autoSpaceDE/>
        <w:spacing w:line="276" w:lineRule="auto"/>
        <w:jc w:val="both"/>
        <w:textAlignment w:val="auto"/>
        <w:rPr>
          <w:rFonts w:ascii="Arial" w:hAnsi="Arial" w:cs="Arial"/>
          <w:sz w:val="18"/>
          <w:szCs w:val="18"/>
          <w:lang w:eastAsia="cs-CZ"/>
        </w:rPr>
      </w:pPr>
      <w:r>
        <w:rPr>
          <w:rFonts w:ascii="Arial" w:hAnsi="Arial" w:cs="Arial"/>
          <w:sz w:val="18"/>
          <w:szCs w:val="18"/>
          <w:lang w:eastAsia="cs-CZ"/>
        </w:rPr>
        <w:t>Příloha č. 1</w:t>
      </w:r>
      <w:r>
        <w:rPr>
          <w:rFonts w:ascii="Arial" w:hAnsi="Arial" w:cs="Arial"/>
          <w:sz w:val="18"/>
          <w:szCs w:val="18"/>
          <w:lang w:eastAsia="cs-CZ"/>
        </w:rPr>
        <w:tab/>
        <w:t xml:space="preserve">Cenová nabídka ze dne </w:t>
      </w:r>
      <w:permStart w:id="2119832906" w:edGrp="everyone"/>
      <w:r>
        <w:rPr>
          <w:rFonts w:ascii="Arial" w:hAnsi="Arial" w:cs="Arial"/>
          <w:sz w:val="18"/>
          <w:szCs w:val="18"/>
          <w:lang w:eastAsia="cs-CZ"/>
        </w:rPr>
        <w:t xml:space="preserve">     </w:t>
      </w:r>
    </w:p>
    <w:permEnd w:id="2119832906"/>
    <w:p>
      <w:pPr>
        <w:suppressAutoHyphens w:val="0"/>
        <w:overflowPunct/>
        <w:autoSpaceDE/>
        <w:spacing w:line="276" w:lineRule="auto"/>
        <w:textAlignment w:val="auto"/>
        <w:rPr>
          <w:rFonts w:ascii="Arial" w:hAnsi="Arial" w:cs="Arial"/>
          <w:sz w:val="18"/>
          <w:szCs w:val="18"/>
          <w:lang w:eastAsia="cs-CZ"/>
        </w:rPr>
      </w:pPr>
      <w:r>
        <w:rPr>
          <w:rFonts w:ascii="Arial" w:hAnsi="Arial" w:cs="Arial"/>
          <w:sz w:val="18"/>
          <w:szCs w:val="18"/>
          <w:lang w:eastAsia="cs-CZ"/>
        </w:rPr>
        <w:t xml:space="preserve">Příloha č. 2 </w:t>
      </w:r>
      <w:r>
        <w:rPr>
          <w:rFonts w:ascii="Arial" w:hAnsi="Arial" w:cs="Arial"/>
          <w:sz w:val="18"/>
          <w:szCs w:val="18"/>
          <w:lang w:eastAsia="cs-CZ"/>
        </w:rPr>
        <w:tab/>
        <w:t xml:space="preserve">Sazebník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1328356568" w:edGrp="everyone" w:colFirst="0" w:colLast="0"/>
            <w:permStart w:id="696792838" w:edGrp="everyone" w:colFirst="1" w:colLast="1"/>
            <w:r>
              <w:lastRenderedPageBreak/>
              <w:t xml:space="preserve">V Ústí nad Labem dne ……………….…  </w:t>
            </w:r>
          </w:p>
        </w:tc>
        <w:tc>
          <w:tcPr>
            <w:tcW w:w="4531" w:type="dxa"/>
            <w:vAlign w:val="bottom"/>
          </w:tcPr>
          <w:p>
            <w:pPr>
              <w:pStyle w:val="Podpisy"/>
              <w:keepNext/>
              <w:keepLines/>
              <w:jc w:val="center"/>
              <w:rPr>
                <w:iCs/>
              </w:rPr>
            </w:pPr>
            <w:r>
              <w:t xml:space="preserve"> V </w:t>
            </w:r>
            <w:r>
              <w:rPr>
                <w:i/>
                <w:color w:val="00B0F0"/>
              </w:rPr>
              <w:t>doplní zhotovitel</w:t>
            </w:r>
            <w:r>
              <w:t xml:space="preserve"> dne ………………</w:t>
            </w:r>
          </w:p>
        </w:tc>
      </w:tr>
      <w:tr>
        <w:tc>
          <w:tcPr>
            <w:tcW w:w="4531" w:type="dxa"/>
            <w:vAlign w:val="bottom"/>
          </w:tcPr>
          <w:p>
            <w:pPr>
              <w:pStyle w:val="Podpisy"/>
              <w:keepNext/>
              <w:keepLines/>
              <w:jc w:val="center"/>
            </w:pPr>
            <w:permStart w:id="2088401397" w:edGrp="everyone" w:colFirst="0" w:colLast="0"/>
            <w:permStart w:id="60894807" w:edGrp="everyone" w:colFirst="1" w:colLast="1"/>
            <w:permEnd w:id="1328356568"/>
            <w:permEnd w:id="696792838"/>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r>
              <w:t>………………………………………………</w:t>
            </w:r>
          </w:p>
        </w:tc>
        <w:tc>
          <w:tcPr>
            <w:tcW w:w="4531" w:type="dxa"/>
            <w:vAlign w:val="bottom"/>
          </w:tcPr>
          <w:p>
            <w:pPr>
              <w:pStyle w:val="Podpisy"/>
              <w:keepNext/>
              <w:keepLines/>
              <w:jc w:val="center"/>
            </w:pPr>
            <w:r>
              <w:t>………………………………………………</w:t>
            </w:r>
          </w:p>
        </w:tc>
      </w:tr>
      <w:tr>
        <w:tc>
          <w:tcPr>
            <w:tcW w:w="4531" w:type="dxa"/>
          </w:tcPr>
          <w:p>
            <w:pPr>
              <w:pStyle w:val="Podpisy"/>
              <w:keepNext/>
              <w:keepLines/>
              <w:jc w:val="center"/>
            </w:pPr>
            <w:permStart w:id="414473005" w:edGrp="everyone" w:colFirst="0" w:colLast="0"/>
            <w:permStart w:id="1169845897" w:edGrp="everyone" w:colFirst="1" w:colLast="1"/>
            <w:permEnd w:id="2088401397"/>
            <w:permEnd w:id="60894807"/>
            <w:r>
              <w:t>MUDr. Tomáš Hrubý</w:t>
            </w:r>
          </w:p>
          <w:p>
            <w:r>
              <w:rPr>
                <w:rFonts w:ascii="Arial" w:hAnsi="Arial" w:cs="Arial"/>
              </w:rPr>
              <w:t xml:space="preserve">                          generální ředitel</w:t>
            </w:r>
          </w:p>
        </w:tc>
        <w:tc>
          <w:tcPr>
            <w:tcW w:w="4531" w:type="dxa"/>
          </w:tcPr>
          <w:p>
            <w:pPr>
              <w:pStyle w:val="Podpisy"/>
              <w:keepNext/>
              <w:keepLines/>
              <w:jc w:val="center"/>
              <w:rPr>
                <w:iCs/>
              </w:rPr>
            </w:pPr>
            <w:r>
              <w:rPr>
                <w:i/>
                <w:color w:val="00B0F0"/>
              </w:rPr>
              <w:t>doplní zhotovitel</w:t>
            </w:r>
          </w:p>
          <w:p>
            <w:pPr>
              <w:pStyle w:val="Podpisy"/>
              <w:keepNext/>
              <w:keepLines/>
              <w:jc w:val="center"/>
            </w:pPr>
            <w:r>
              <w:rPr>
                <w:iCs/>
              </w:rPr>
              <w:t>jednatel společnosti</w:t>
            </w:r>
          </w:p>
        </w:tc>
      </w:tr>
      <w:permEnd w:id="414473005"/>
      <w:permEnd w:id="1169845897"/>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sz w:val="24"/>
        <w:szCs w:val="24"/>
        <w:lang w:eastAsia="cs-CZ"/>
      </w:rPr>
    </w:pPr>
    <w:r>
      <w:rPr>
        <w:sz w:val="24"/>
        <w:szCs w:val="24"/>
        <w:lang w:eastAsia="cs-CZ"/>
      </w:rPr>
      <w:t xml:space="preserve">Stránka </w:t>
    </w:r>
    <w:r>
      <w:rPr>
        <w:sz w:val="24"/>
        <w:szCs w:val="24"/>
        <w:lang w:eastAsia="cs-CZ"/>
      </w:rPr>
      <w:fldChar w:fldCharType="begin"/>
    </w:r>
    <w:r>
      <w:rPr>
        <w:sz w:val="24"/>
        <w:szCs w:val="24"/>
        <w:lang w:eastAsia="cs-CZ"/>
      </w:rPr>
      <w:instrText>PAGE</w:instrText>
    </w:r>
    <w:r>
      <w:rPr>
        <w:sz w:val="24"/>
        <w:szCs w:val="24"/>
        <w:lang w:eastAsia="cs-CZ"/>
      </w:rPr>
      <w:fldChar w:fldCharType="separate"/>
    </w:r>
    <w:r>
      <w:rPr>
        <w:noProof/>
        <w:sz w:val="24"/>
        <w:szCs w:val="24"/>
        <w:lang w:eastAsia="cs-CZ"/>
      </w:rPr>
      <w:t>5</w:t>
    </w:r>
    <w:r>
      <w:rPr>
        <w:sz w:val="24"/>
        <w:szCs w:val="24"/>
        <w:lang w:eastAsia="cs-CZ"/>
      </w:rPr>
      <w:fldChar w:fldCharType="end"/>
    </w:r>
    <w:r>
      <w:rPr>
        <w:sz w:val="24"/>
        <w:szCs w:val="24"/>
        <w:lang w:eastAsia="cs-CZ"/>
      </w:rPr>
      <w:t xml:space="preserve"> z </w:t>
    </w:r>
    <w:r>
      <w:rPr>
        <w:sz w:val="24"/>
        <w:szCs w:val="24"/>
        <w:lang w:eastAsia="cs-CZ"/>
      </w:rPr>
      <w:fldChar w:fldCharType="begin"/>
    </w:r>
    <w:r>
      <w:rPr>
        <w:sz w:val="24"/>
        <w:szCs w:val="24"/>
        <w:lang w:eastAsia="cs-CZ"/>
      </w:rPr>
      <w:instrText>NUMPAGES</w:instrText>
    </w:r>
    <w:r>
      <w:rPr>
        <w:sz w:val="24"/>
        <w:szCs w:val="24"/>
        <w:lang w:eastAsia="cs-CZ"/>
      </w:rPr>
      <w:fldChar w:fldCharType="separate"/>
    </w:r>
    <w:r>
      <w:rPr>
        <w:noProof/>
        <w:sz w:val="24"/>
        <w:szCs w:val="24"/>
        <w:lang w:eastAsia="cs-CZ"/>
      </w:rPr>
      <w:t>5</w:t>
    </w:r>
    <w:r>
      <w:rPr>
        <w:sz w:val="24"/>
        <w:szCs w:val="24"/>
        <w:lang w:eastAsia="cs-CZ"/>
      </w:rPr>
      <w:fldChar w:fldCharType="end"/>
    </w:r>
  </w:p>
  <w:p>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tabs>
        <w:tab w:val="left" w:pos="4912"/>
      </w:tabs>
      <w:rPr>
        <w:rFonts w:ascii="Arial" w:hAnsi="Arial" w:cs="Arial"/>
        <w:sz w:val="18"/>
        <w:szCs w:val="18"/>
      </w:rPr>
    </w:pPr>
    <w:r>
      <w:tab/>
    </w:r>
    <w:r>
      <w:tab/>
    </w:r>
    <w:r>
      <w:rPr>
        <w:rFonts w:ascii="Arial" w:hAnsi="Arial" w:cs="Arial"/>
        <w:sz w:val="18"/>
        <w:szCs w:val="18"/>
      </w:rPr>
      <w:tab/>
    </w:r>
    <w:bookmarkStart w:id="0" w:name="_GoBack"/>
    <w:r>
      <w:rPr>
        <w:rFonts w:ascii="Arial" w:hAnsi="Arial" w:cs="Arial"/>
        <w:sz w:val="18"/>
        <w:szCs w:val="18"/>
      </w:rPr>
      <w:t>Číslo smlouvy – DBID: 4751/2025</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paragraph" w:styleId="Nadpis4">
    <w:name w:val="heading 4"/>
    <w:basedOn w:val="Normln"/>
    <w:next w:val="Normln"/>
    <w:link w:val="Nadpis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sz w:val="20"/>
      <w:szCs w:val="20"/>
      <w:lang w:eastAsia="zh-CN"/>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092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C9BA-FAAD-4DAA-9F1F-5D6A1CE7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2076</Words>
  <Characters>12255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Ondová Monika</cp:lastModifiedBy>
  <cp:revision>3</cp:revision>
  <dcterms:created xsi:type="dcterms:W3CDTF">2025-11-25T11:00:00Z</dcterms:created>
  <dcterms:modified xsi:type="dcterms:W3CDTF">2025-11-25T11:01:00Z</dcterms:modified>
</cp:coreProperties>
</file>