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3D24DE9" w14:textId="36726D10" w:rsidR="00F77C3B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D1473C">
        <w:rPr>
          <w:rFonts w:eastAsia="Times New Roman" w:cs="Arial"/>
          <w:b/>
          <w:sz w:val="20"/>
          <w:szCs w:val="20"/>
          <w:lang w:eastAsia="cs-CZ"/>
        </w:rPr>
        <w:t>R13_CV - Oprava opláštění - budova Kompresorovna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AA1E" w14:textId="77777777" w:rsidR="00EB4E18" w:rsidRDefault="00EB4E18" w:rsidP="004A044C">
      <w:pPr>
        <w:spacing w:line="240" w:lineRule="auto"/>
      </w:pPr>
      <w:r>
        <w:separator/>
      </w:r>
    </w:p>
  </w:endnote>
  <w:endnote w:type="continuationSeparator" w:id="0">
    <w:p w14:paraId="329C7F84" w14:textId="77777777" w:rsidR="00EB4E18" w:rsidRDefault="00EB4E1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178F" w14:textId="77777777" w:rsidR="00EB4E18" w:rsidRDefault="00EB4E18" w:rsidP="004A044C">
      <w:pPr>
        <w:spacing w:line="240" w:lineRule="auto"/>
      </w:pPr>
      <w:r>
        <w:separator/>
      </w:r>
    </w:p>
  </w:footnote>
  <w:footnote w:type="continuationSeparator" w:id="0">
    <w:p w14:paraId="24B0651A" w14:textId="77777777" w:rsidR="00EB4E18" w:rsidRDefault="00EB4E18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E4488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1473C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B4E18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2025-05-14T09:18:00Z</dcterms:created>
  <dcterms:modified xsi:type="dcterms:W3CDTF">2025-10-02T10:49:00Z</dcterms:modified>
</cp:coreProperties>
</file>