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</w:rPr>
              <w:t xml:space="preserve">Odstranění závad na venkovních hydrantech, Masarykova nemocnice v Ústí nad Labem, </w:t>
            </w:r>
            <w:proofErr w:type="spellStart"/>
            <w:proofErr w:type="gramStart"/>
            <w:r>
              <w:rPr>
                <w:b/>
              </w:rPr>
              <w:t>o.z</w:t>
            </w:r>
            <w:proofErr w:type="spellEnd"/>
            <w:r>
              <w:rPr>
                <w:b/>
              </w:rPr>
              <w:t>.</w:t>
            </w:r>
            <w:proofErr w:type="gramEnd"/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analogicky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analogicky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analogicky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 profesní způsobilosti analogicky dle ustanovení</w:t>
      </w:r>
      <w:r>
        <w:rPr>
          <w:rFonts w:eastAsia="Calibri" w:cs="Arial"/>
          <w:b/>
          <w:szCs w:val="18"/>
        </w:rPr>
        <w:t xml:space="preserve"> § 77 odst. 2 písm. a)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</w:t>
      </w:r>
      <w:bookmarkStart w:id="0" w:name="_GoBack"/>
      <w:bookmarkEnd w:id="0"/>
      <w:r>
        <w:rPr>
          <w:rFonts w:cs="Arial"/>
          <w:szCs w:val="18"/>
        </w:rPr>
        <w:t xml:space="preserve">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>
      <w:pPr>
        <w:snapToGrid w:val="0"/>
        <w:spacing w:after="120"/>
        <w:ind w:right="-1"/>
        <w:jc w:val="both"/>
        <w:rPr>
          <w:rStyle w:val="Hypertextovodkaz"/>
          <w:rFonts w:cs="Arial"/>
          <w:szCs w:val="18"/>
        </w:rPr>
      </w:pPr>
      <w:r>
        <w:rPr>
          <w:rFonts w:cs="Arial"/>
          <w:szCs w:val="18"/>
        </w:rPr>
        <w:lastRenderedPageBreak/>
        <w:t xml:space="preserve">Účastník prohlašuje, že akceptuje a dodrží požadavky na provedení a kvalitu ICT, souhrn standardů pro projektování a realizaci staveb 2023 a Souhrn standardů pro projektování a realizaci staveb BOZP a PO uvedených ke dni vyhlášení této VZ na </w:t>
      </w:r>
      <w:hyperlink r:id="rId8" w:history="1">
        <w:r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>
      <w:pPr>
        <w:snapToGrid w:val="0"/>
        <w:spacing w:after="120" w:line="240" w:lineRule="auto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v souladu s varováním NÚKIB č. j. 6159/2025-NÚKIB-E/350:</w:t>
      </w:r>
    </w:p>
    <w:p>
      <w:pPr>
        <w:pStyle w:val="Odstavecseseznamem"/>
        <w:numPr>
          <w:ilvl w:val="0"/>
          <w:numId w:val="3"/>
        </w:numPr>
        <w:jc w:val="both"/>
      </w:pPr>
      <w:r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>
      <w:pPr>
        <w:pStyle w:val="Odstavecseseznamem"/>
        <w:numPr>
          <w:ilvl w:val="0"/>
          <w:numId w:val="3"/>
        </w:numPr>
        <w:jc w:val="both"/>
      </w:pPr>
      <w: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>
      <w:pPr>
        <w:pStyle w:val="Odstavecseseznamem"/>
        <w:numPr>
          <w:ilvl w:val="0"/>
          <w:numId w:val="3"/>
        </w:numPr>
        <w:spacing w:before="240"/>
        <w:jc w:val="both"/>
      </w:pPr>
      <w:r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>
      <w:pPr>
        <w:snapToGrid w:val="0"/>
        <w:spacing w:after="120"/>
        <w:ind w:right="-1"/>
        <w:jc w:val="both"/>
        <w:rPr>
          <w:rStyle w:val="Hypertextovodkaz"/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9"/>
      <w:footerReference w:type="default" r:id="rId10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5D5D-7251-47E3-8461-DA1E9498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8</cp:revision>
  <cp:lastPrinted>2025-02-20T13:28:00Z</cp:lastPrinted>
  <dcterms:created xsi:type="dcterms:W3CDTF">2025-06-02T05:38:00Z</dcterms:created>
  <dcterms:modified xsi:type="dcterms:W3CDTF">2025-09-30T07:25:00Z</dcterms:modified>
</cp:coreProperties>
</file>