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10: REHABILITACE - Dodávka ultrazvukových </w:t>
            </w:r>
            <w:r>
              <w:rPr>
                <w:rFonts w:cs="Arial"/>
                <w:b/>
              </w:rPr>
              <w:t xml:space="preserve">přístrojů pro Masarykovu nemocnici v Ústí nad Labem, </w:t>
            </w:r>
            <w:proofErr w:type="spellStart"/>
            <w:proofErr w:type="gramStart"/>
            <w:r>
              <w:rPr>
                <w:rFonts w:cs="Arial"/>
                <w:b/>
              </w:rPr>
              <w:t>o.z</w:t>
            </w:r>
            <w:proofErr w:type="spellEnd"/>
            <w:r>
              <w:rPr>
                <w:rFonts w:cs="Arial"/>
                <w:b/>
              </w:rPr>
              <w:t>.</w:t>
            </w:r>
            <w:proofErr w:type="gramEnd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F3B9-254B-4BDB-ABB2-ABF338AC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2025-05-29T09:48:00Z</dcterms:created>
  <dcterms:modified xsi:type="dcterms:W3CDTF">2025-08-26T10:12:00Z</dcterms:modified>
</cp:coreProperties>
</file>