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33A237FE"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9B11E9" w:rsidRPr="009B11E9">
        <w:rPr>
          <w:rFonts w:ascii="Arial" w:hAnsi="Arial" w:cs="Arial"/>
          <w:b/>
          <w:i/>
          <w:sz w:val="20"/>
          <w:szCs w:val="20"/>
        </w:rPr>
        <w:t>GUAIFENESIN</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6E5DB3D" w14:textId="794A7AA2" w:rsidR="0064584E" w:rsidRPr="0064584E" w:rsidRDefault="00171E66" w:rsidP="0064584E">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64584E" w:rsidRPr="0064584E">
        <w:t xml:space="preserve"> </w:t>
      </w:r>
    </w:p>
    <w:p w14:paraId="09061C5F" w14:textId="76747A7A" w:rsidR="00171E66" w:rsidRPr="00353451" w:rsidRDefault="0064584E" w:rsidP="0064584E">
      <w:pPr>
        <w:widowControl w:val="0"/>
        <w:spacing w:before="60"/>
        <w:jc w:val="both"/>
        <w:rPr>
          <w:rFonts w:ascii="Arial" w:hAnsi="Arial" w:cs="Arial"/>
          <w:snapToGrid w:val="0"/>
          <w:sz w:val="20"/>
          <w:szCs w:val="20"/>
        </w:rPr>
      </w:pPr>
      <w:r w:rsidRPr="0064584E">
        <w:rPr>
          <w:rFonts w:ascii="Arial" w:hAnsi="Arial" w:cs="Arial"/>
          <w:snapToGrid w:val="0"/>
          <w:sz w:val="20"/>
          <w:szCs w:val="20"/>
        </w:rPr>
        <w:t xml:space="preserve">kontakt ve věcech soutěže: </w:t>
      </w:r>
      <w:hyperlink r:id="rId7" w:history="1">
        <w:r w:rsidRPr="000743AF">
          <w:rPr>
            <w:rStyle w:val="Hypertextovodkaz"/>
            <w:rFonts w:ascii="Arial" w:hAnsi="Arial" w:cs="Arial"/>
            <w:snapToGrid w:val="0"/>
            <w:sz w:val="20"/>
            <w:szCs w:val="20"/>
          </w:rPr>
          <w:t>vzleciva@kzcr.eu</w:t>
        </w:r>
      </w:hyperlink>
      <w:r>
        <w:rPr>
          <w:rFonts w:ascii="Arial" w:hAnsi="Arial" w:cs="Arial"/>
          <w:snapToGrid w:val="0"/>
          <w:sz w:val="20"/>
          <w:szCs w:val="20"/>
        </w:rPr>
        <w:t xml:space="preserve"> </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7A3D55D5"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9B11E9" w:rsidRPr="009B11E9">
        <w:rPr>
          <w:rFonts w:ascii="Arial" w:hAnsi="Arial" w:cs="Arial"/>
          <w:iCs/>
          <w:sz w:val="20"/>
          <w:szCs w:val="20"/>
        </w:rPr>
        <w:t>GUAIFENESIN</w:t>
      </w:r>
      <w:r w:rsidR="009B11E9"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5BF0F55D" w:rsidR="00171E66" w:rsidRPr="006E1FEC" w:rsidRDefault="00171E66" w:rsidP="009B11E9">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9B11E9" w:rsidRPr="009B11E9">
        <w:rPr>
          <w:rFonts w:ascii="Arial" w:hAnsi="Arial" w:cs="Arial"/>
          <w:iCs/>
          <w:snapToGrid/>
          <w:color w:val="auto"/>
          <w:sz w:val="20"/>
        </w:rPr>
        <w:t xml:space="preserve">GUAIFENESIN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Krajská zdravotní, a.s. - Masarykova nemocnice v Ústí nad Labem, o.z.,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o.z.,</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o.z.,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o.z.,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o.z.,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o.z.,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o.z., Žitenická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Apotheke</w:t>
      </w:r>
      <w:r>
        <w:rPr>
          <w:rFonts w:ascii="Arial" w:hAnsi="Arial" w:cs="Arial"/>
          <w:sz w:val="20"/>
          <w:szCs w:val="20"/>
        </w:rPr>
        <w:t>, tj. např. ve formátu *.pdf, *.xlms</w:t>
      </w:r>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(risk-sharingové či cost-sharingové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41236D47" w14:textId="68557FB8" w:rsidR="002F6386" w:rsidRDefault="002F6386"/>
    <w:p w14:paraId="33119587" w14:textId="3FA4E8A0" w:rsidR="00266148" w:rsidRDefault="00266148"/>
    <w:p w14:paraId="347D0D21" w14:textId="7AE51304" w:rsidR="00266148" w:rsidRDefault="00266148"/>
    <w:p w14:paraId="41178227" w14:textId="1A21F25D" w:rsidR="00266148" w:rsidRDefault="00266148">
      <w:pPr>
        <w:spacing w:after="160" w:line="259" w:lineRule="auto"/>
      </w:pPr>
      <w:r>
        <w:br w:type="page"/>
      </w:r>
    </w:p>
    <w:p w14:paraId="2C22D56D" w14:textId="77777777" w:rsidR="00266148" w:rsidRDefault="00266148">
      <w:pPr>
        <w:sectPr w:rsidR="00266148" w:rsidSect="00AA6212">
          <w:headerReference w:type="default" r:id="rId8"/>
          <w:footerReference w:type="default" r:id="rId9"/>
          <w:pgSz w:w="11909" w:h="16834"/>
          <w:pgMar w:top="1203" w:right="1417" w:bottom="1079" w:left="1417" w:header="708" w:footer="289" w:gutter="0"/>
          <w:cols w:space="708"/>
          <w:noEndnote/>
        </w:sectPr>
      </w:pPr>
    </w:p>
    <w:tbl>
      <w:tblPr>
        <w:tblW w:w="5233" w:type="pct"/>
        <w:tblInd w:w="-284" w:type="dxa"/>
        <w:tblCellMar>
          <w:left w:w="70" w:type="dxa"/>
          <w:right w:w="70" w:type="dxa"/>
        </w:tblCellMar>
        <w:tblLook w:val="04A0" w:firstRow="1" w:lastRow="0" w:firstColumn="1" w:lastColumn="0" w:noHBand="0" w:noVBand="1"/>
      </w:tblPr>
      <w:tblGrid>
        <w:gridCol w:w="796"/>
        <w:gridCol w:w="2325"/>
        <w:gridCol w:w="1273"/>
        <w:gridCol w:w="1136"/>
        <w:gridCol w:w="1179"/>
        <w:gridCol w:w="659"/>
        <w:gridCol w:w="387"/>
        <w:gridCol w:w="981"/>
        <w:gridCol w:w="512"/>
        <w:gridCol w:w="1225"/>
        <w:gridCol w:w="160"/>
        <w:gridCol w:w="1073"/>
        <w:gridCol w:w="679"/>
        <w:gridCol w:w="353"/>
        <w:gridCol w:w="813"/>
        <w:gridCol w:w="194"/>
        <w:gridCol w:w="767"/>
        <w:gridCol w:w="551"/>
        <w:gridCol w:w="24"/>
        <w:gridCol w:w="146"/>
      </w:tblGrid>
      <w:tr w:rsidR="00266148" w:rsidRPr="00266148" w14:paraId="7DE2A925" w14:textId="77777777" w:rsidTr="00266148">
        <w:trPr>
          <w:trHeight w:val="315"/>
        </w:trPr>
        <w:tc>
          <w:tcPr>
            <w:tcW w:w="2202"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47"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90"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52"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560"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322"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95" w:type="pct"/>
            <w:gridSpan w:val="2"/>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9"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266148">
        <w:trPr>
          <w:trHeight w:val="315"/>
        </w:trPr>
        <w:tc>
          <w:tcPr>
            <w:tcW w:w="261"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8"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47"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52"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560"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322"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95" w:type="pct"/>
            <w:gridSpan w:val="2"/>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9"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266148">
        <w:trPr>
          <w:trHeight w:val="315"/>
        </w:trPr>
        <w:tc>
          <w:tcPr>
            <w:tcW w:w="261"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8"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47"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52"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560"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322"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95" w:type="pct"/>
            <w:gridSpan w:val="2"/>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9"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266148">
        <w:trPr>
          <w:gridAfter w:val="2"/>
          <w:wAfter w:w="60" w:type="pct"/>
          <w:trHeight w:val="458"/>
        </w:trPr>
        <w:tc>
          <w:tcPr>
            <w:tcW w:w="261"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76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8" w:type="pct"/>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7B895BED"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7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607"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(ml;g)</w:t>
            </w:r>
          </w:p>
        </w:tc>
        <w:tc>
          <w:tcPr>
            <w:tcW w:w="387"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1D50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55A5E35"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bottom"/>
            <w:hideMark/>
          </w:tcPr>
          <w:p w14:paraId="06DD09C0"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442"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68CBA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266148">
        <w:trPr>
          <w:gridAfter w:val="2"/>
          <w:wAfter w:w="60" w:type="pct"/>
          <w:trHeight w:val="458"/>
        </w:trPr>
        <w:tc>
          <w:tcPr>
            <w:tcW w:w="261"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63"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8"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73"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607"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9"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387"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9"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442"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9B11E9" w:rsidRPr="00266148" w14:paraId="3EDC5980" w14:textId="77777777" w:rsidTr="009D0641">
        <w:trPr>
          <w:gridAfter w:val="2"/>
          <w:wAfter w:w="60" w:type="pct"/>
          <w:trHeight w:val="458"/>
        </w:trPr>
        <w:tc>
          <w:tcPr>
            <w:tcW w:w="261"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484D2DDC" w14:textId="77777777" w:rsidR="009B11E9" w:rsidRPr="00266148" w:rsidRDefault="009B11E9" w:rsidP="009B11E9">
            <w:pPr>
              <w:jc w:val="center"/>
              <w:rPr>
                <w:rFonts w:ascii="Calibri" w:hAnsi="Calibri" w:cs="Calibri"/>
                <w:b/>
                <w:bCs/>
                <w:color w:val="000000"/>
                <w:sz w:val="20"/>
                <w:szCs w:val="20"/>
              </w:rPr>
            </w:pPr>
            <w:r w:rsidRPr="00266148">
              <w:rPr>
                <w:rFonts w:ascii="Calibri" w:hAnsi="Calibri" w:cs="Calibri"/>
                <w:b/>
                <w:bCs/>
                <w:color w:val="000000"/>
                <w:sz w:val="20"/>
                <w:szCs w:val="20"/>
              </w:rPr>
              <w:t>1.</w:t>
            </w:r>
          </w:p>
        </w:tc>
        <w:tc>
          <w:tcPr>
            <w:tcW w:w="763" w:type="pct"/>
            <w:vMerge w:val="restart"/>
            <w:tcBorders>
              <w:top w:val="nil"/>
              <w:left w:val="single" w:sz="4" w:space="0" w:color="auto"/>
              <w:bottom w:val="single" w:sz="8" w:space="0" w:color="000000"/>
              <w:right w:val="single" w:sz="4" w:space="0" w:color="auto"/>
            </w:tcBorders>
            <w:shd w:val="clear" w:color="auto" w:fill="auto"/>
            <w:vAlign w:val="center"/>
            <w:hideMark/>
          </w:tcPr>
          <w:p w14:paraId="53E5322E" w14:textId="261E39CE" w:rsidR="009B11E9" w:rsidRPr="00266148" w:rsidRDefault="00DA29DA" w:rsidP="009B11E9">
            <w:pPr>
              <w:jc w:val="center"/>
              <w:rPr>
                <w:rFonts w:ascii="Calibri" w:hAnsi="Calibri" w:cs="Calibri"/>
                <w:b/>
                <w:bCs/>
                <w:color w:val="000000"/>
                <w:sz w:val="20"/>
                <w:szCs w:val="20"/>
              </w:rPr>
            </w:pPr>
            <w:r>
              <w:rPr>
                <w:rFonts w:ascii="Calibri" w:hAnsi="Calibri" w:cs="Calibri"/>
                <w:b/>
                <w:bCs/>
                <w:color w:val="000000"/>
                <w:sz w:val="22"/>
                <w:szCs w:val="22"/>
              </w:rPr>
              <w:t>Guaifenesin</w:t>
            </w:r>
            <w:r w:rsidR="009B11E9">
              <w:rPr>
                <w:rFonts w:ascii="Calibri" w:hAnsi="Calibri" w:cs="Calibri"/>
                <w:b/>
                <w:bCs/>
                <w:color w:val="000000"/>
                <w:sz w:val="22"/>
                <w:szCs w:val="22"/>
              </w:rPr>
              <w:t xml:space="preserve"> 200 mg</w:t>
            </w:r>
          </w:p>
        </w:tc>
        <w:tc>
          <w:tcPr>
            <w:tcW w:w="418"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AC2DFB6" w14:textId="77777777" w:rsidR="009B11E9" w:rsidRPr="00266148" w:rsidRDefault="009B11E9" w:rsidP="009B11E9">
            <w:pPr>
              <w:jc w:val="center"/>
              <w:rPr>
                <w:rFonts w:ascii="Calibri" w:hAnsi="Calibri" w:cs="Calibri"/>
                <w:color w:val="000000"/>
                <w:sz w:val="20"/>
                <w:szCs w:val="20"/>
              </w:rPr>
            </w:pPr>
            <w:r>
              <w:rPr>
                <w:rFonts w:ascii="Calibri" w:hAnsi="Calibri" w:cs="Calibri"/>
                <w:color w:val="000000"/>
                <w:sz w:val="22"/>
                <w:szCs w:val="22"/>
              </w:rPr>
              <w:t>R05CA03</w:t>
            </w:r>
          </w:p>
        </w:tc>
        <w:tc>
          <w:tcPr>
            <w:tcW w:w="373"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10D0A28" w14:textId="77777777" w:rsidR="009B11E9" w:rsidRPr="00266148" w:rsidRDefault="009B11E9" w:rsidP="009B11E9">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60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C4B6D7C" w14:textId="77777777" w:rsidR="009B11E9" w:rsidRPr="00266148" w:rsidRDefault="009B11E9" w:rsidP="009B11E9">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4B3F66D" w14:textId="77777777" w:rsidR="009B11E9" w:rsidRPr="00266148" w:rsidRDefault="009B11E9" w:rsidP="009B11E9">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70"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67019F44" w14:textId="61E2CABD" w:rsidR="009B11E9" w:rsidRPr="00266148" w:rsidRDefault="009B11E9" w:rsidP="009B11E9">
            <w:pPr>
              <w:jc w:val="center"/>
              <w:rPr>
                <w:rFonts w:ascii="Calibri" w:hAnsi="Calibri" w:cs="Calibri"/>
                <w:b/>
                <w:bCs/>
                <w:color w:val="000000"/>
                <w:sz w:val="20"/>
                <w:szCs w:val="20"/>
              </w:rPr>
            </w:pPr>
            <w:r>
              <w:rPr>
                <w:rFonts w:ascii="Calibri" w:hAnsi="Calibri" w:cs="Calibri"/>
                <w:b/>
                <w:bCs/>
                <w:color w:val="000000"/>
                <w:sz w:val="22"/>
                <w:szCs w:val="22"/>
              </w:rPr>
              <w:t>TBL OBD</w:t>
            </w:r>
          </w:p>
        </w:tc>
        <w:tc>
          <w:tcPr>
            <w:tcW w:w="387" w:type="pct"/>
            <w:gridSpan w:val="2"/>
            <w:vMerge w:val="restart"/>
            <w:tcBorders>
              <w:top w:val="nil"/>
              <w:left w:val="nil"/>
              <w:bottom w:val="single" w:sz="8" w:space="0" w:color="000000"/>
              <w:right w:val="single" w:sz="4" w:space="0" w:color="auto"/>
            </w:tcBorders>
            <w:shd w:val="clear" w:color="auto" w:fill="auto"/>
            <w:noWrap/>
            <w:vAlign w:val="center"/>
            <w:hideMark/>
          </w:tcPr>
          <w:p w14:paraId="4447F494" w14:textId="15B2D778" w:rsidR="009B11E9" w:rsidRPr="00266148" w:rsidRDefault="009B11E9" w:rsidP="009B11E9">
            <w:pPr>
              <w:jc w:val="center"/>
              <w:rPr>
                <w:rFonts w:ascii="Calibri" w:hAnsi="Calibri" w:cs="Calibri"/>
                <w:b/>
                <w:bCs/>
                <w:color w:val="000000"/>
                <w:sz w:val="20"/>
                <w:szCs w:val="20"/>
              </w:rPr>
            </w:pPr>
            <w:r>
              <w:rPr>
                <w:rFonts w:ascii="Calibri" w:hAnsi="Calibri" w:cs="Calibri"/>
                <w:b/>
                <w:bCs/>
                <w:color w:val="000000"/>
                <w:sz w:val="22"/>
                <w:szCs w:val="22"/>
              </w:rPr>
              <w:t>30 x 200 mg</w:t>
            </w:r>
          </w:p>
        </w:tc>
        <w:tc>
          <w:tcPr>
            <w:tcW w:w="33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177EBBCB" w14:textId="77777777" w:rsidR="009B11E9" w:rsidRPr="00266148" w:rsidRDefault="009B11E9" w:rsidP="009B11E9">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31"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73F70F0B" w14:textId="77777777" w:rsidR="009B11E9" w:rsidRPr="00266148" w:rsidRDefault="009B11E9" w:rsidP="009B11E9">
            <w:pPr>
              <w:jc w:val="center"/>
              <w:rPr>
                <w:rFonts w:ascii="Calibri" w:hAnsi="Calibri" w:cs="Calibri"/>
                <w:b/>
                <w:bCs/>
                <w:color w:val="000000"/>
                <w:sz w:val="20"/>
                <w:szCs w:val="20"/>
              </w:rPr>
            </w:pPr>
          </w:p>
        </w:tc>
        <w:tc>
          <w:tcPr>
            <w:tcW w:w="442"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680910F4" w14:textId="77777777" w:rsidR="009B11E9" w:rsidRPr="00266148" w:rsidRDefault="009B11E9" w:rsidP="009B11E9">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r w:rsidR="009B11E9" w:rsidRPr="00266148" w14:paraId="728F7384" w14:textId="77777777" w:rsidTr="009D0641">
        <w:trPr>
          <w:gridAfter w:val="2"/>
          <w:wAfter w:w="60" w:type="pct"/>
          <w:trHeight w:val="458"/>
        </w:trPr>
        <w:tc>
          <w:tcPr>
            <w:tcW w:w="261" w:type="pct"/>
            <w:vMerge/>
            <w:tcBorders>
              <w:top w:val="nil"/>
              <w:left w:val="single" w:sz="8" w:space="0" w:color="auto"/>
              <w:bottom w:val="single" w:sz="8" w:space="0" w:color="000000"/>
              <w:right w:val="single" w:sz="4" w:space="0" w:color="auto"/>
            </w:tcBorders>
            <w:vAlign w:val="center"/>
            <w:hideMark/>
          </w:tcPr>
          <w:p w14:paraId="26625CD1" w14:textId="77777777" w:rsidR="009B11E9" w:rsidRPr="00266148" w:rsidRDefault="009B11E9" w:rsidP="009B11E9">
            <w:pPr>
              <w:rPr>
                <w:rFonts w:ascii="Calibri" w:hAnsi="Calibri" w:cs="Calibri"/>
                <w:b/>
                <w:bCs/>
                <w:color w:val="000000"/>
                <w:sz w:val="22"/>
                <w:szCs w:val="22"/>
              </w:rPr>
            </w:pPr>
          </w:p>
        </w:tc>
        <w:tc>
          <w:tcPr>
            <w:tcW w:w="763" w:type="pct"/>
            <w:vMerge/>
            <w:tcBorders>
              <w:top w:val="nil"/>
              <w:left w:val="single" w:sz="4" w:space="0" w:color="auto"/>
              <w:bottom w:val="single" w:sz="8" w:space="0" w:color="000000"/>
              <w:right w:val="single" w:sz="4" w:space="0" w:color="auto"/>
            </w:tcBorders>
            <w:vAlign w:val="center"/>
            <w:hideMark/>
          </w:tcPr>
          <w:p w14:paraId="268F852F" w14:textId="77777777" w:rsidR="009B11E9" w:rsidRPr="00266148" w:rsidRDefault="009B11E9" w:rsidP="009B11E9">
            <w:pPr>
              <w:rPr>
                <w:rFonts w:ascii="Calibri" w:hAnsi="Calibri" w:cs="Calibri"/>
                <w:b/>
                <w:bCs/>
                <w:color w:val="000000"/>
                <w:sz w:val="22"/>
                <w:szCs w:val="22"/>
              </w:rPr>
            </w:pPr>
          </w:p>
        </w:tc>
        <w:tc>
          <w:tcPr>
            <w:tcW w:w="418" w:type="pct"/>
            <w:vMerge/>
            <w:tcBorders>
              <w:top w:val="nil"/>
              <w:left w:val="single" w:sz="4" w:space="0" w:color="auto"/>
              <w:bottom w:val="single" w:sz="8" w:space="0" w:color="000000"/>
              <w:right w:val="single" w:sz="4" w:space="0" w:color="auto"/>
            </w:tcBorders>
            <w:vAlign w:val="center"/>
            <w:hideMark/>
          </w:tcPr>
          <w:p w14:paraId="6AF52BF2" w14:textId="77777777" w:rsidR="009B11E9" w:rsidRPr="00266148" w:rsidRDefault="009B11E9" w:rsidP="009B11E9">
            <w:pPr>
              <w:rPr>
                <w:rFonts w:ascii="Calibri" w:hAnsi="Calibri" w:cs="Calibri"/>
                <w:color w:val="000000"/>
                <w:sz w:val="22"/>
                <w:szCs w:val="22"/>
              </w:rPr>
            </w:pPr>
          </w:p>
        </w:tc>
        <w:tc>
          <w:tcPr>
            <w:tcW w:w="373" w:type="pct"/>
            <w:vMerge/>
            <w:tcBorders>
              <w:top w:val="nil"/>
              <w:left w:val="single" w:sz="4" w:space="0" w:color="auto"/>
              <w:bottom w:val="single" w:sz="8" w:space="0" w:color="000000"/>
              <w:right w:val="single" w:sz="4" w:space="0" w:color="auto"/>
            </w:tcBorders>
            <w:vAlign w:val="center"/>
            <w:hideMark/>
          </w:tcPr>
          <w:p w14:paraId="5AA3D4E1" w14:textId="77777777" w:rsidR="009B11E9" w:rsidRPr="00266148" w:rsidRDefault="009B11E9" w:rsidP="009B11E9">
            <w:pPr>
              <w:rPr>
                <w:rFonts w:ascii="Calibri" w:hAnsi="Calibri" w:cs="Calibri"/>
                <w:b/>
                <w:bCs/>
                <w:color w:val="000000"/>
                <w:sz w:val="22"/>
                <w:szCs w:val="22"/>
              </w:rPr>
            </w:pPr>
          </w:p>
        </w:tc>
        <w:tc>
          <w:tcPr>
            <w:tcW w:w="607" w:type="pct"/>
            <w:gridSpan w:val="2"/>
            <w:vMerge/>
            <w:tcBorders>
              <w:top w:val="nil"/>
              <w:left w:val="single" w:sz="4" w:space="0" w:color="auto"/>
              <w:bottom w:val="single" w:sz="8" w:space="0" w:color="000000"/>
              <w:right w:val="single" w:sz="4" w:space="0" w:color="auto"/>
            </w:tcBorders>
            <w:vAlign w:val="center"/>
            <w:hideMark/>
          </w:tcPr>
          <w:p w14:paraId="5A2AA037" w14:textId="77777777" w:rsidR="009B11E9" w:rsidRPr="00266148" w:rsidRDefault="009B11E9" w:rsidP="009B11E9">
            <w:pPr>
              <w:rPr>
                <w:rFonts w:ascii="Calibri" w:hAnsi="Calibri" w:cs="Calibri"/>
                <w:b/>
                <w:bCs/>
                <w:color w:val="000000"/>
                <w:sz w:val="22"/>
                <w:szCs w:val="22"/>
              </w:rPr>
            </w:pPr>
          </w:p>
        </w:tc>
        <w:tc>
          <w:tcPr>
            <w:tcW w:w="449" w:type="pct"/>
            <w:gridSpan w:val="2"/>
            <w:vMerge/>
            <w:tcBorders>
              <w:top w:val="nil"/>
              <w:left w:val="single" w:sz="4" w:space="0" w:color="auto"/>
              <w:bottom w:val="single" w:sz="8" w:space="0" w:color="000000"/>
              <w:right w:val="single" w:sz="4" w:space="0" w:color="auto"/>
            </w:tcBorders>
            <w:vAlign w:val="center"/>
            <w:hideMark/>
          </w:tcPr>
          <w:p w14:paraId="30514E13" w14:textId="77777777" w:rsidR="009B11E9" w:rsidRPr="00266148" w:rsidRDefault="009B11E9" w:rsidP="009B11E9">
            <w:pPr>
              <w:rPr>
                <w:rFonts w:ascii="Calibri" w:hAnsi="Calibri" w:cs="Calibri"/>
                <w:b/>
                <w:bCs/>
                <w:color w:val="000000"/>
                <w:sz w:val="22"/>
                <w:szCs w:val="22"/>
              </w:rPr>
            </w:pPr>
          </w:p>
        </w:tc>
        <w:tc>
          <w:tcPr>
            <w:tcW w:w="570" w:type="pct"/>
            <w:gridSpan w:val="2"/>
            <w:vMerge/>
            <w:tcBorders>
              <w:top w:val="nil"/>
              <w:left w:val="single" w:sz="4" w:space="0" w:color="auto"/>
              <w:bottom w:val="single" w:sz="8" w:space="0" w:color="000000"/>
              <w:right w:val="single" w:sz="4" w:space="0" w:color="auto"/>
            </w:tcBorders>
            <w:vAlign w:val="center"/>
            <w:hideMark/>
          </w:tcPr>
          <w:p w14:paraId="3A2CFE8D" w14:textId="77777777" w:rsidR="009B11E9" w:rsidRPr="00266148" w:rsidRDefault="009B11E9" w:rsidP="009B11E9">
            <w:pPr>
              <w:rPr>
                <w:rFonts w:ascii="Calibri" w:hAnsi="Calibri" w:cs="Calibri"/>
                <w:b/>
                <w:bCs/>
                <w:color w:val="000000"/>
                <w:sz w:val="22"/>
                <w:szCs w:val="22"/>
              </w:rPr>
            </w:pPr>
          </w:p>
        </w:tc>
        <w:tc>
          <w:tcPr>
            <w:tcW w:w="387" w:type="pct"/>
            <w:gridSpan w:val="2"/>
            <w:vMerge/>
            <w:tcBorders>
              <w:top w:val="nil"/>
              <w:left w:val="nil"/>
              <w:bottom w:val="single" w:sz="8" w:space="0" w:color="000000"/>
              <w:right w:val="single" w:sz="4" w:space="0" w:color="auto"/>
            </w:tcBorders>
            <w:vAlign w:val="center"/>
            <w:hideMark/>
          </w:tcPr>
          <w:p w14:paraId="6B2E4448" w14:textId="77777777" w:rsidR="009B11E9" w:rsidRPr="00266148" w:rsidRDefault="009B11E9" w:rsidP="009B11E9">
            <w:pPr>
              <w:rPr>
                <w:rFonts w:ascii="Calibri" w:hAnsi="Calibri" w:cs="Calibri"/>
                <w:b/>
                <w:bCs/>
                <w:color w:val="000000"/>
                <w:sz w:val="22"/>
                <w:szCs w:val="22"/>
              </w:rPr>
            </w:pPr>
          </w:p>
        </w:tc>
        <w:tc>
          <w:tcPr>
            <w:tcW w:w="339" w:type="pct"/>
            <w:gridSpan w:val="2"/>
            <w:vMerge/>
            <w:tcBorders>
              <w:top w:val="nil"/>
              <w:left w:val="single" w:sz="4" w:space="0" w:color="auto"/>
              <w:bottom w:val="single" w:sz="8" w:space="0" w:color="000000"/>
              <w:right w:val="single" w:sz="4" w:space="0" w:color="auto"/>
            </w:tcBorders>
            <w:vAlign w:val="center"/>
            <w:hideMark/>
          </w:tcPr>
          <w:p w14:paraId="68FE6EEC" w14:textId="77777777" w:rsidR="009B11E9" w:rsidRPr="00266148" w:rsidRDefault="009B11E9" w:rsidP="009B11E9">
            <w:pPr>
              <w:rPr>
                <w:rFonts w:ascii="Calibri" w:hAnsi="Calibri" w:cs="Calibri"/>
                <w:b/>
                <w:bCs/>
                <w:color w:val="000000"/>
                <w:sz w:val="22"/>
                <w:szCs w:val="22"/>
              </w:rPr>
            </w:pPr>
          </w:p>
        </w:tc>
        <w:tc>
          <w:tcPr>
            <w:tcW w:w="331" w:type="pct"/>
            <w:gridSpan w:val="2"/>
            <w:vMerge/>
            <w:tcBorders>
              <w:top w:val="nil"/>
              <w:left w:val="single" w:sz="4" w:space="0" w:color="auto"/>
              <w:bottom w:val="single" w:sz="8" w:space="0" w:color="000000"/>
              <w:right w:val="single" w:sz="4" w:space="0" w:color="auto"/>
            </w:tcBorders>
            <w:vAlign w:val="center"/>
            <w:hideMark/>
          </w:tcPr>
          <w:p w14:paraId="03F23BD0" w14:textId="77777777" w:rsidR="009B11E9" w:rsidRPr="00266148" w:rsidRDefault="009B11E9" w:rsidP="009B11E9">
            <w:pPr>
              <w:rPr>
                <w:rFonts w:ascii="Calibri" w:hAnsi="Calibri" w:cs="Calibri"/>
                <w:b/>
                <w:bCs/>
                <w:color w:val="000000"/>
                <w:sz w:val="22"/>
                <w:szCs w:val="22"/>
              </w:rPr>
            </w:pPr>
          </w:p>
        </w:tc>
        <w:tc>
          <w:tcPr>
            <w:tcW w:w="442" w:type="pct"/>
            <w:gridSpan w:val="2"/>
            <w:vMerge/>
            <w:tcBorders>
              <w:top w:val="nil"/>
              <w:left w:val="single" w:sz="4" w:space="0" w:color="auto"/>
              <w:bottom w:val="single" w:sz="8" w:space="0" w:color="000000"/>
              <w:right w:val="single" w:sz="8" w:space="0" w:color="auto"/>
            </w:tcBorders>
            <w:vAlign w:val="center"/>
            <w:hideMark/>
          </w:tcPr>
          <w:p w14:paraId="7EED5980" w14:textId="77777777" w:rsidR="009B11E9" w:rsidRPr="00266148" w:rsidRDefault="009B11E9" w:rsidP="009B11E9">
            <w:pPr>
              <w:rPr>
                <w:rFonts w:ascii="Calibri" w:hAnsi="Calibri" w:cs="Calibri"/>
                <w:b/>
                <w:bCs/>
                <w:color w:val="000000"/>
                <w:sz w:val="22"/>
                <w:szCs w:val="22"/>
              </w:rPr>
            </w:pPr>
          </w:p>
        </w:tc>
      </w:tr>
      <w:tr w:rsidR="009B11E9" w:rsidRPr="00266148" w14:paraId="1F154116" w14:textId="77777777" w:rsidTr="00266148">
        <w:trPr>
          <w:gridAfter w:val="2"/>
          <w:wAfter w:w="60" w:type="pct"/>
          <w:trHeight w:val="458"/>
        </w:trPr>
        <w:tc>
          <w:tcPr>
            <w:tcW w:w="261"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B194AAB" w14:textId="3E948942" w:rsidR="009B11E9" w:rsidRPr="00266148" w:rsidRDefault="009B11E9" w:rsidP="009B11E9">
            <w:pPr>
              <w:jc w:val="center"/>
              <w:rPr>
                <w:rFonts w:ascii="Calibri" w:hAnsi="Calibri" w:cs="Calibri"/>
                <w:b/>
                <w:bCs/>
                <w:color w:val="000000"/>
                <w:sz w:val="20"/>
                <w:szCs w:val="20"/>
              </w:rPr>
            </w:pPr>
            <w:r>
              <w:rPr>
                <w:rFonts w:ascii="Calibri" w:hAnsi="Calibri" w:cs="Calibri"/>
                <w:b/>
                <w:bCs/>
                <w:color w:val="000000"/>
                <w:sz w:val="22"/>
                <w:szCs w:val="22"/>
              </w:rPr>
              <w:t>2.</w:t>
            </w:r>
          </w:p>
        </w:tc>
        <w:tc>
          <w:tcPr>
            <w:tcW w:w="763" w:type="pct"/>
            <w:vMerge w:val="restart"/>
            <w:tcBorders>
              <w:top w:val="nil"/>
              <w:left w:val="single" w:sz="4" w:space="0" w:color="auto"/>
              <w:bottom w:val="single" w:sz="8" w:space="0" w:color="000000"/>
              <w:right w:val="single" w:sz="4" w:space="0" w:color="auto"/>
            </w:tcBorders>
            <w:shd w:val="clear" w:color="auto" w:fill="auto"/>
            <w:vAlign w:val="center"/>
            <w:hideMark/>
          </w:tcPr>
          <w:p w14:paraId="445274FC" w14:textId="42E9838A" w:rsidR="009B11E9" w:rsidRPr="00266148" w:rsidRDefault="00DA29DA" w:rsidP="009B11E9">
            <w:pPr>
              <w:jc w:val="center"/>
              <w:rPr>
                <w:rFonts w:ascii="Calibri" w:hAnsi="Calibri" w:cs="Calibri"/>
                <w:b/>
                <w:bCs/>
                <w:color w:val="000000"/>
                <w:sz w:val="20"/>
                <w:szCs w:val="20"/>
              </w:rPr>
            </w:pPr>
            <w:r>
              <w:rPr>
                <w:rFonts w:ascii="Calibri" w:hAnsi="Calibri" w:cs="Calibri"/>
                <w:b/>
                <w:bCs/>
                <w:color w:val="000000"/>
                <w:sz w:val="22"/>
                <w:szCs w:val="22"/>
              </w:rPr>
              <w:t>Guaifenesin</w:t>
            </w:r>
            <w:r w:rsidR="009B11E9">
              <w:rPr>
                <w:rFonts w:ascii="Calibri" w:hAnsi="Calibri" w:cs="Calibri"/>
                <w:b/>
                <w:bCs/>
                <w:color w:val="000000"/>
                <w:sz w:val="22"/>
                <w:szCs w:val="22"/>
              </w:rPr>
              <w:t xml:space="preserve"> 50 mg/ml</w:t>
            </w:r>
          </w:p>
        </w:tc>
        <w:tc>
          <w:tcPr>
            <w:tcW w:w="418"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A5ED2EC" w14:textId="4CF32864" w:rsidR="009B11E9" w:rsidRPr="00266148" w:rsidRDefault="009B11E9" w:rsidP="009B11E9">
            <w:pPr>
              <w:jc w:val="center"/>
              <w:rPr>
                <w:rFonts w:ascii="Calibri" w:hAnsi="Calibri" w:cs="Calibri"/>
                <w:color w:val="000000"/>
                <w:sz w:val="20"/>
                <w:szCs w:val="20"/>
              </w:rPr>
            </w:pPr>
            <w:r>
              <w:rPr>
                <w:rFonts w:ascii="Calibri" w:hAnsi="Calibri" w:cs="Calibri"/>
                <w:color w:val="000000"/>
                <w:sz w:val="22"/>
                <w:szCs w:val="22"/>
              </w:rPr>
              <w:t>R05CA03</w:t>
            </w:r>
          </w:p>
        </w:tc>
        <w:tc>
          <w:tcPr>
            <w:tcW w:w="373"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33A4506" w14:textId="77777777" w:rsidR="009B11E9" w:rsidRPr="00266148" w:rsidRDefault="009B11E9" w:rsidP="009B11E9">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60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D76A9FB" w14:textId="77777777" w:rsidR="009B11E9" w:rsidRPr="00266148" w:rsidRDefault="009B11E9" w:rsidP="009B11E9">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C63E1DF" w14:textId="77777777" w:rsidR="009B11E9" w:rsidRPr="00266148" w:rsidRDefault="009B11E9" w:rsidP="009B11E9">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70"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6EDCD9C3" w14:textId="7EB0E212" w:rsidR="009B11E9" w:rsidRPr="00266148" w:rsidRDefault="009B11E9" w:rsidP="009B11E9">
            <w:pPr>
              <w:jc w:val="center"/>
              <w:rPr>
                <w:rFonts w:ascii="Calibri" w:hAnsi="Calibri" w:cs="Calibri"/>
                <w:b/>
                <w:bCs/>
                <w:color w:val="000000"/>
                <w:sz w:val="20"/>
                <w:szCs w:val="20"/>
              </w:rPr>
            </w:pPr>
            <w:r>
              <w:rPr>
                <w:rFonts w:ascii="Calibri" w:hAnsi="Calibri" w:cs="Calibri"/>
                <w:b/>
                <w:bCs/>
                <w:color w:val="000000"/>
                <w:sz w:val="22"/>
                <w:szCs w:val="22"/>
              </w:rPr>
              <w:t>INJ SOL</w:t>
            </w:r>
          </w:p>
        </w:tc>
        <w:tc>
          <w:tcPr>
            <w:tcW w:w="387" w:type="pct"/>
            <w:gridSpan w:val="2"/>
            <w:vMerge w:val="restart"/>
            <w:tcBorders>
              <w:top w:val="nil"/>
              <w:left w:val="nil"/>
              <w:bottom w:val="single" w:sz="8" w:space="0" w:color="000000"/>
              <w:right w:val="single" w:sz="4" w:space="0" w:color="auto"/>
            </w:tcBorders>
            <w:shd w:val="clear" w:color="auto" w:fill="auto"/>
            <w:noWrap/>
            <w:vAlign w:val="center"/>
            <w:hideMark/>
          </w:tcPr>
          <w:p w14:paraId="299AFF0F" w14:textId="6F6F4483" w:rsidR="009B11E9" w:rsidRPr="00266148" w:rsidRDefault="009B11E9" w:rsidP="009B11E9">
            <w:pPr>
              <w:jc w:val="center"/>
              <w:rPr>
                <w:rFonts w:ascii="Calibri" w:hAnsi="Calibri" w:cs="Calibri"/>
                <w:b/>
                <w:bCs/>
                <w:color w:val="000000"/>
                <w:sz w:val="20"/>
                <w:szCs w:val="20"/>
              </w:rPr>
            </w:pPr>
            <w:r>
              <w:rPr>
                <w:rFonts w:ascii="Calibri" w:hAnsi="Calibri" w:cs="Calibri"/>
                <w:b/>
                <w:bCs/>
                <w:color w:val="000000"/>
                <w:sz w:val="22"/>
                <w:szCs w:val="22"/>
              </w:rPr>
              <w:t>10 x 10 ml</w:t>
            </w:r>
          </w:p>
        </w:tc>
        <w:tc>
          <w:tcPr>
            <w:tcW w:w="339"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A37A79C" w14:textId="77777777" w:rsidR="009B11E9" w:rsidRPr="00266148" w:rsidRDefault="009B11E9" w:rsidP="009B11E9">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31"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425D841" w14:textId="06E5FC20" w:rsidR="009B11E9" w:rsidRPr="00266148" w:rsidRDefault="009B11E9" w:rsidP="009B11E9">
            <w:pPr>
              <w:jc w:val="center"/>
              <w:rPr>
                <w:rFonts w:ascii="Calibri" w:hAnsi="Calibri" w:cs="Calibri"/>
                <w:b/>
                <w:bCs/>
                <w:color w:val="000000"/>
                <w:sz w:val="20"/>
                <w:szCs w:val="20"/>
              </w:rPr>
            </w:pPr>
          </w:p>
        </w:tc>
        <w:tc>
          <w:tcPr>
            <w:tcW w:w="442"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3AE5DB27" w14:textId="77777777" w:rsidR="009B11E9" w:rsidRPr="00266148" w:rsidRDefault="009B11E9" w:rsidP="009B11E9">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r w:rsidR="00266148" w:rsidRPr="00266148" w14:paraId="01D74767" w14:textId="77777777" w:rsidTr="00266148">
        <w:trPr>
          <w:gridAfter w:val="2"/>
          <w:wAfter w:w="60" w:type="pct"/>
          <w:trHeight w:val="458"/>
        </w:trPr>
        <w:tc>
          <w:tcPr>
            <w:tcW w:w="261" w:type="pct"/>
            <w:vMerge/>
            <w:tcBorders>
              <w:top w:val="nil"/>
              <w:left w:val="single" w:sz="8" w:space="0" w:color="auto"/>
              <w:bottom w:val="single" w:sz="8" w:space="0" w:color="000000"/>
              <w:right w:val="single" w:sz="4" w:space="0" w:color="auto"/>
            </w:tcBorders>
            <w:vAlign w:val="center"/>
            <w:hideMark/>
          </w:tcPr>
          <w:p w14:paraId="0D6E9B46" w14:textId="77777777" w:rsidR="00266148" w:rsidRPr="00266148" w:rsidRDefault="00266148" w:rsidP="00266148">
            <w:pPr>
              <w:rPr>
                <w:rFonts w:ascii="Calibri" w:hAnsi="Calibri" w:cs="Calibri"/>
                <w:b/>
                <w:bCs/>
                <w:color w:val="000000"/>
                <w:sz w:val="22"/>
                <w:szCs w:val="22"/>
              </w:rPr>
            </w:pPr>
          </w:p>
        </w:tc>
        <w:tc>
          <w:tcPr>
            <w:tcW w:w="763" w:type="pct"/>
            <w:vMerge/>
            <w:tcBorders>
              <w:top w:val="nil"/>
              <w:left w:val="single" w:sz="4" w:space="0" w:color="auto"/>
              <w:bottom w:val="single" w:sz="8" w:space="0" w:color="000000"/>
              <w:right w:val="single" w:sz="4" w:space="0" w:color="auto"/>
            </w:tcBorders>
            <w:vAlign w:val="center"/>
            <w:hideMark/>
          </w:tcPr>
          <w:p w14:paraId="67477B55" w14:textId="77777777" w:rsidR="00266148" w:rsidRPr="00266148" w:rsidRDefault="00266148" w:rsidP="00266148">
            <w:pPr>
              <w:rPr>
                <w:rFonts w:ascii="Calibri" w:hAnsi="Calibri" w:cs="Calibri"/>
                <w:b/>
                <w:bCs/>
                <w:color w:val="000000"/>
                <w:sz w:val="22"/>
                <w:szCs w:val="22"/>
              </w:rPr>
            </w:pPr>
          </w:p>
        </w:tc>
        <w:tc>
          <w:tcPr>
            <w:tcW w:w="418" w:type="pct"/>
            <w:vMerge/>
            <w:tcBorders>
              <w:top w:val="nil"/>
              <w:left w:val="single" w:sz="4" w:space="0" w:color="auto"/>
              <w:bottom w:val="single" w:sz="8" w:space="0" w:color="000000"/>
              <w:right w:val="single" w:sz="4" w:space="0" w:color="auto"/>
            </w:tcBorders>
            <w:vAlign w:val="center"/>
            <w:hideMark/>
          </w:tcPr>
          <w:p w14:paraId="3C5360D8" w14:textId="77777777" w:rsidR="00266148" w:rsidRPr="00266148" w:rsidRDefault="00266148" w:rsidP="00266148">
            <w:pPr>
              <w:rPr>
                <w:rFonts w:ascii="Calibri" w:hAnsi="Calibri" w:cs="Calibri"/>
                <w:color w:val="000000"/>
                <w:sz w:val="22"/>
                <w:szCs w:val="22"/>
              </w:rPr>
            </w:pPr>
          </w:p>
        </w:tc>
        <w:tc>
          <w:tcPr>
            <w:tcW w:w="373" w:type="pct"/>
            <w:vMerge/>
            <w:tcBorders>
              <w:top w:val="nil"/>
              <w:left w:val="single" w:sz="4" w:space="0" w:color="auto"/>
              <w:bottom w:val="single" w:sz="8" w:space="0" w:color="000000"/>
              <w:right w:val="single" w:sz="4" w:space="0" w:color="auto"/>
            </w:tcBorders>
            <w:vAlign w:val="center"/>
            <w:hideMark/>
          </w:tcPr>
          <w:p w14:paraId="3988DEC3" w14:textId="77777777" w:rsidR="00266148" w:rsidRPr="00266148" w:rsidRDefault="00266148" w:rsidP="00266148">
            <w:pPr>
              <w:rPr>
                <w:rFonts w:ascii="Calibri" w:hAnsi="Calibri" w:cs="Calibri"/>
                <w:b/>
                <w:bCs/>
                <w:color w:val="000000"/>
                <w:sz w:val="22"/>
                <w:szCs w:val="22"/>
              </w:rPr>
            </w:pPr>
          </w:p>
        </w:tc>
        <w:tc>
          <w:tcPr>
            <w:tcW w:w="607" w:type="pct"/>
            <w:gridSpan w:val="2"/>
            <w:vMerge/>
            <w:tcBorders>
              <w:top w:val="nil"/>
              <w:left w:val="single" w:sz="4" w:space="0" w:color="auto"/>
              <w:bottom w:val="single" w:sz="8" w:space="0" w:color="000000"/>
              <w:right w:val="single" w:sz="4" w:space="0" w:color="auto"/>
            </w:tcBorders>
            <w:vAlign w:val="center"/>
            <w:hideMark/>
          </w:tcPr>
          <w:p w14:paraId="52D6C198" w14:textId="77777777" w:rsidR="00266148" w:rsidRPr="00266148" w:rsidRDefault="00266148" w:rsidP="00266148">
            <w:pPr>
              <w:rPr>
                <w:rFonts w:ascii="Calibri" w:hAnsi="Calibri" w:cs="Calibri"/>
                <w:b/>
                <w:bCs/>
                <w:color w:val="000000"/>
                <w:sz w:val="22"/>
                <w:szCs w:val="22"/>
              </w:rPr>
            </w:pPr>
          </w:p>
        </w:tc>
        <w:tc>
          <w:tcPr>
            <w:tcW w:w="449" w:type="pct"/>
            <w:gridSpan w:val="2"/>
            <w:vMerge/>
            <w:tcBorders>
              <w:top w:val="nil"/>
              <w:left w:val="single" w:sz="4" w:space="0" w:color="auto"/>
              <w:bottom w:val="single" w:sz="8" w:space="0" w:color="000000"/>
              <w:right w:val="single" w:sz="4" w:space="0" w:color="auto"/>
            </w:tcBorders>
            <w:vAlign w:val="center"/>
            <w:hideMark/>
          </w:tcPr>
          <w:p w14:paraId="13CDCD7F" w14:textId="77777777" w:rsidR="00266148" w:rsidRPr="00266148" w:rsidRDefault="00266148" w:rsidP="00266148">
            <w:pPr>
              <w:rPr>
                <w:rFonts w:ascii="Calibri" w:hAnsi="Calibri" w:cs="Calibri"/>
                <w:b/>
                <w:bCs/>
                <w:color w:val="000000"/>
                <w:sz w:val="22"/>
                <w:szCs w:val="22"/>
              </w:rPr>
            </w:pPr>
          </w:p>
        </w:tc>
        <w:tc>
          <w:tcPr>
            <w:tcW w:w="570" w:type="pct"/>
            <w:gridSpan w:val="2"/>
            <w:vMerge/>
            <w:tcBorders>
              <w:top w:val="nil"/>
              <w:left w:val="single" w:sz="4" w:space="0" w:color="auto"/>
              <w:bottom w:val="single" w:sz="8" w:space="0" w:color="000000"/>
              <w:right w:val="single" w:sz="4" w:space="0" w:color="auto"/>
            </w:tcBorders>
            <w:vAlign w:val="center"/>
            <w:hideMark/>
          </w:tcPr>
          <w:p w14:paraId="59513C7B" w14:textId="77777777" w:rsidR="00266148" w:rsidRPr="00266148" w:rsidRDefault="00266148" w:rsidP="00266148">
            <w:pPr>
              <w:rPr>
                <w:rFonts w:ascii="Calibri" w:hAnsi="Calibri" w:cs="Calibri"/>
                <w:b/>
                <w:bCs/>
                <w:color w:val="000000"/>
                <w:sz w:val="22"/>
                <w:szCs w:val="22"/>
              </w:rPr>
            </w:pPr>
          </w:p>
        </w:tc>
        <w:tc>
          <w:tcPr>
            <w:tcW w:w="387" w:type="pct"/>
            <w:gridSpan w:val="2"/>
            <w:vMerge/>
            <w:tcBorders>
              <w:top w:val="nil"/>
              <w:left w:val="nil"/>
              <w:bottom w:val="single" w:sz="8" w:space="0" w:color="000000"/>
              <w:right w:val="single" w:sz="4" w:space="0" w:color="auto"/>
            </w:tcBorders>
            <w:vAlign w:val="center"/>
            <w:hideMark/>
          </w:tcPr>
          <w:p w14:paraId="1C8A0F21" w14:textId="77777777" w:rsidR="00266148" w:rsidRPr="00266148" w:rsidRDefault="00266148" w:rsidP="00266148">
            <w:pPr>
              <w:rPr>
                <w:rFonts w:ascii="Calibri" w:hAnsi="Calibri" w:cs="Calibri"/>
                <w:b/>
                <w:bCs/>
                <w:color w:val="000000"/>
                <w:sz w:val="22"/>
                <w:szCs w:val="22"/>
              </w:rPr>
            </w:pPr>
          </w:p>
        </w:tc>
        <w:tc>
          <w:tcPr>
            <w:tcW w:w="339" w:type="pct"/>
            <w:gridSpan w:val="2"/>
            <w:vMerge/>
            <w:tcBorders>
              <w:top w:val="nil"/>
              <w:left w:val="single" w:sz="4" w:space="0" w:color="auto"/>
              <w:bottom w:val="single" w:sz="8" w:space="0" w:color="000000"/>
              <w:right w:val="single" w:sz="4" w:space="0" w:color="auto"/>
            </w:tcBorders>
            <w:vAlign w:val="center"/>
            <w:hideMark/>
          </w:tcPr>
          <w:p w14:paraId="777333A9" w14:textId="77777777" w:rsidR="00266148" w:rsidRPr="00266148" w:rsidRDefault="00266148" w:rsidP="00266148">
            <w:pPr>
              <w:rPr>
                <w:rFonts w:ascii="Calibri" w:hAnsi="Calibri" w:cs="Calibri"/>
                <w:b/>
                <w:bCs/>
                <w:color w:val="000000"/>
                <w:sz w:val="22"/>
                <w:szCs w:val="22"/>
              </w:rPr>
            </w:pPr>
          </w:p>
        </w:tc>
        <w:tc>
          <w:tcPr>
            <w:tcW w:w="331" w:type="pct"/>
            <w:gridSpan w:val="2"/>
            <w:vMerge/>
            <w:tcBorders>
              <w:top w:val="nil"/>
              <w:left w:val="single" w:sz="4" w:space="0" w:color="auto"/>
              <w:bottom w:val="single" w:sz="8" w:space="0" w:color="000000"/>
              <w:right w:val="single" w:sz="4" w:space="0" w:color="auto"/>
            </w:tcBorders>
            <w:vAlign w:val="center"/>
            <w:hideMark/>
          </w:tcPr>
          <w:p w14:paraId="1991CFF6" w14:textId="77777777" w:rsidR="00266148" w:rsidRPr="00266148" w:rsidRDefault="00266148" w:rsidP="00266148">
            <w:pPr>
              <w:rPr>
                <w:rFonts w:ascii="Calibri" w:hAnsi="Calibri" w:cs="Calibri"/>
                <w:b/>
                <w:bCs/>
                <w:color w:val="000000"/>
                <w:sz w:val="22"/>
                <w:szCs w:val="22"/>
              </w:rPr>
            </w:pPr>
          </w:p>
        </w:tc>
        <w:tc>
          <w:tcPr>
            <w:tcW w:w="442" w:type="pct"/>
            <w:gridSpan w:val="2"/>
            <w:vMerge/>
            <w:tcBorders>
              <w:top w:val="nil"/>
              <w:left w:val="single" w:sz="4" w:space="0" w:color="auto"/>
              <w:bottom w:val="single" w:sz="8" w:space="0" w:color="000000"/>
              <w:right w:val="single" w:sz="8" w:space="0" w:color="auto"/>
            </w:tcBorders>
            <w:vAlign w:val="center"/>
            <w:hideMark/>
          </w:tcPr>
          <w:p w14:paraId="09E3C3B2" w14:textId="77777777" w:rsidR="00266148" w:rsidRPr="00266148" w:rsidRDefault="00266148" w:rsidP="00266148">
            <w:pPr>
              <w:rPr>
                <w:rFonts w:ascii="Calibri" w:hAnsi="Calibri" w:cs="Calibri"/>
                <w:b/>
                <w:bCs/>
                <w:color w:val="000000"/>
                <w:sz w:val="22"/>
                <w:szCs w:val="22"/>
              </w:rPr>
            </w:pP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266148" w:rsidRDefault="00266148" w:rsidP="00266148">
      <w:pPr>
        <w:rPr>
          <w:rFonts w:asciiTheme="minorHAnsi" w:hAnsiTheme="minorHAnsi" w:cstheme="minorHAnsi"/>
          <w:sz w:val="20"/>
          <w:szCs w:val="20"/>
        </w:rPr>
      </w:pPr>
      <w:r>
        <w:tab/>
      </w:r>
      <w:r w:rsidRPr="00266148">
        <w:rPr>
          <w:rFonts w:asciiTheme="minorHAnsi" w:hAnsiTheme="minorHAnsi" w:cstheme="minorHAnsi"/>
          <w:sz w:val="20"/>
          <w:szCs w:val="20"/>
        </w:rPr>
        <w:t>Specifikace jednotlivých položek:</w:t>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42E00558" w14:textId="4444C179" w:rsidR="009B11E9" w:rsidRPr="009B11E9" w:rsidRDefault="009B11E9" w:rsidP="009B11E9">
      <w:pPr>
        <w:pStyle w:val="Odstavecseseznamem"/>
        <w:numPr>
          <w:ilvl w:val="0"/>
          <w:numId w:val="17"/>
        </w:numPr>
        <w:rPr>
          <w:rFonts w:cstheme="minorHAnsi"/>
          <w:sz w:val="20"/>
          <w:szCs w:val="20"/>
        </w:rPr>
      </w:pPr>
      <w:r w:rsidRPr="009B11E9">
        <w:rPr>
          <w:rFonts w:cstheme="minorHAnsi"/>
          <w:sz w:val="20"/>
          <w:szCs w:val="20"/>
        </w:rPr>
        <w:t>Jedna tableta obsahuje guaifenesinum 200 mg.</w:t>
      </w:r>
    </w:p>
    <w:p w14:paraId="3246D03F" w14:textId="41A6C8E5" w:rsidR="00266148" w:rsidRPr="009B11E9" w:rsidRDefault="009B11E9" w:rsidP="009B11E9">
      <w:pPr>
        <w:pStyle w:val="Odstavecseseznamem"/>
        <w:numPr>
          <w:ilvl w:val="0"/>
          <w:numId w:val="17"/>
        </w:numPr>
        <w:rPr>
          <w:sz w:val="20"/>
        </w:rPr>
      </w:pPr>
      <w:r w:rsidRPr="009B11E9">
        <w:rPr>
          <w:sz w:val="20"/>
        </w:rPr>
        <w:t>Jeden ml injekčního roztoku obsahuje guaifenesinum 50 mg.</w:t>
      </w:r>
      <w:r w:rsidR="00266148" w:rsidRPr="009B11E9">
        <w:rPr>
          <w:sz w:val="20"/>
        </w:rPr>
        <w:tab/>
      </w:r>
      <w:r w:rsidR="00266148" w:rsidRPr="009B11E9">
        <w:rPr>
          <w:sz w:val="20"/>
        </w:rPr>
        <w:tab/>
      </w:r>
      <w:r w:rsidR="00266148" w:rsidRPr="009B11E9">
        <w:rPr>
          <w:sz w:val="20"/>
        </w:rPr>
        <w:tab/>
      </w:r>
      <w:r w:rsidR="00266148" w:rsidRPr="009B11E9">
        <w:rPr>
          <w:sz w:val="20"/>
        </w:rPr>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4C6D" w14:textId="77777777" w:rsidR="00E72176" w:rsidRDefault="00E72176">
      <w:r>
        <w:separator/>
      </w:r>
    </w:p>
  </w:endnote>
  <w:endnote w:type="continuationSeparator" w:id="0">
    <w:p w14:paraId="1EC842CA" w14:textId="77777777" w:rsidR="00E72176" w:rsidRDefault="00E7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Účinnost od:</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r>
            <w:rPr>
              <w:rFonts w:ascii="Arial" w:hAnsi="Arial" w:cs="Arial"/>
              <w:sz w:val="16"/>
            </w:rPr>
            <w:t>1.</w:t>
          </w:r>
          <w:r w:rsidR="00DD5FBB">
            <w:rPr>
              <w:rFonts w:ascii="Arial" w:hAnsi="Arial" w:cs="Arial"/>
              <w:sz w:val="16"/>
            </w:rPr>
            <w:t>7.2025</w:t>
          </w:r>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762256B0"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9B11E9">
            <w:rPr>
              <w:rStyle w:val="slostrnky"/>
              <w:rFonts w:ascii="Arial" w:hAnsi="Arial" w:cs="Arial"/>
              <w:noProof/>
              <w:sz w:val="16"/>
            </w:rPr>
            <w:t>6</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9B11E9">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DA29DA"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59C2" w14:textId="77777777" w:rsidR="00E72176" w:rsidRDefault="00E72176">
      <w:r>
        <w:separator/>
      </w:r>
    </w:p>
  </w:footnote>
  <w:footnote w:type="continuationSeparator" w:id="0">
    <w:p w14:paraId="105167AF" w14:textId="77777777" w:rsidR="00E72176" w:rsidRDefault="00E7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CBE6854"/>
    <w:multiLevelType w:val="hybridMultilevel"/>
    <w:tmpl w:val="9AF880B0"/>
    <w:lvl w:ilvl="0" w:tplc="D2104CD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D947C0"/>
    <w:multiLevelType w:val="singleLevel"/>
    <w:tmpl w:val="0405000F"/>
    <w:lvl w:ilvl="0">
      <w:start w:val="1"/>
      <w:numFmt w:val="decimal"/>
      <w:lvlText w:val="%1."/>
      <w:lvlJc w:val="left"/>
      <w:pPr>
        <w:ind w:left="720" w:hanging="360"/>
      </w:pPr>
    </w:lvl>
  </w:abstractNum>
  <w:abstractNum w:abstractNumId="7"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8"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4"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8"/>
  </w:num>
  <w:num w:numId="5">
    <w:abstractNumId w:val="1"/>
  </w:num>
  <w:num w:numId="6">
    <w:abstractNumId w:val="15"/>
  </w:num>
  <w:num w:numId="7">
    <w:abstractNumId w:val="4"/>
  </w:num>
  <w:num w:numId="8">
    <w:abstractNumId w:val="7"/>
  </w:num>
  <w:num w:numId="9">
    <w:abstractNumId w:val="12"/>
  </w:num>
  <w:num w:numId="10">
    <w:abstractNumId w:val="9"/>
  </w:num>
  <w:num w:numId="11">
    <w:abstractNumId w:val="14"/>
  </w:num>
  <w:num w:numId="12">
    <w:abstractNumId w:val="3"/>
  </w:num>
  <w:num w:numId="13">
    <w:abstractNumId w:val="13"/>
  </w:num>
  <w:num w:numId="14">
    <w:abstractNumId w:val="2"/>
  </w:num>
  <w:num w:numId="15">
    <w:abstractNumId w:val="1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66"/>
    <w:rsid w:val="00043EF9"/>
    <w:rsid w:val="00096C3A"/>
    <w:rsid w:val="0011622D"/>
    <w:rsid w:val="00151258"/>
    <w:rsid w:val="00171E66"/>
    <w:rsid w:val="00265C4D"/>
    <w:rsid w:val="00266148"/>
    <w:rsid w:val="002702DF"/>
    <w:rsid w:val="002943F3"/>
    <w:rsid w:val="00296173"/>
    <w:rsid w:val="002B0325"/>
    <w:rsid w:val="002D0D77"/>
    <w:rsid w:val="002F4EED"/>
    <w:rsid w:val="002F6386"/>
    <w:rsid w:val="00304E21"/>
    <w:rsid w:val="003544F4"/>
    <w:rsid w:val="00400681"/>
    <w:rsid w:val="00464EB4"/>
    <w:rsid w:val="00466341"/>
    <w:rsid w:val="00567F31"/>
    <w:rsid w:val="005A12C6"/>
    <w:rsid w:val="005A13D4"/>
    <w:rsid w:val="005C008B"/>
    <w:rsid w:val="0064584E"/>
    <w:rsid w:val="006E6113"/>
    <w:rsid w:val="006F2557"/>
    <w:rsid w:val="007C10CC"/>
    <w:rsid w:val="008459A9"/>
    <w:rsid w:val="0089535A"/>
    <w:rsid w:val="008A2F0C"/>
    <w:rsid w:val="009103B5"/>
    <w:rsid w:val="009B11E9"/>
    <w:rsid w:val="009F5F9C"/>
    <w:rsid w:val="00AF3599"/>
    <w:rsid w:val="00B8783B"/>
    <w:rsid w:val="00C04CE5"/>
    <w:rsid w:val="00DA1C1F"/>
    <w:rsid w:val="00DA29DA"/>
    <w:rsid w:val="00DB4EE6"/>
    <w:rsid w:val="00DD5422"/>
    <w:rsid w:val="00DD5FBB"/>
    <w:rsid w:val="00E0447E"/>
    <w:rsid w:val="00E310CE"/>
    <w:rsid w:val="00E472F4"/>
    <w:rsid w:val="00E72176"/>
    <w:rsid w:val="00F24C68"/>
    <w:rsid w:val="00F53FEC"/>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45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zleciva@kzc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3372</Words>
  <Characters>19897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Broftová Jana</cp:lastModifiedBy>
  <cp:revision>6</cp:revision>
  <dcterms:created xsi:type="dcterms:W3CDTF">2025-07-02T13:14:00Z</dcterms:created>
  <dcterms:modified xsi:type="dcterms:W3CDTF">2025-07-04T10:10:00Z</dcterms:modified>
</cp:coreProperties>
</file>