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73" w:rsidRDefault="00B96573" w:rsidP="00B96573">
      <w:pPr>
        <w:spacing w:after="0"/>
        <w:rPr>
          <w:b/>
        </w:rPr>
      </w:pPr>
      <w:r w:rsidRPr="006B44CD">
        <w:rPr>
          <w:b/>
        </w:rPr>
        <w:t>Pop</w:t>
      </w:r>
      <w:bookmarkStart w:id="0" w:name="_GoBack"/>
      <w:bookmarkEnd w:id="0"/>
      <w:r w:rsidRPr="006B44CD">
        <w:rPr>
          <w:b/>
        </w:rPr>
        <w:t>is prostředí</w:t>
      </w:r>
    </w:p>
    <w:p w:rsidR="00B96573" w:rsidRPr="006B44CD" w:rsidRDefault="00B96573" w:rsidP="00B96573">
      <w:pPr>
        <w:spacing w:after="0"/>
        <w:ind w:left="360"/>
        <w:rPr>
          <w:b/>
        </w:rPr>
      </w:pPr>
      <w:r>
        <w:rPr>
          <w:b/>
        </w:rPr>
        <w:t>Aplikační část</w:t>
      </w:r>
    </w:p>
    <w:p w:rsidR="00BE4651" w:rsidRDefault="00BE4651" w:rsidP="00BE4651">
      <w:pPr>
        <w:numPr>
          <w:ilvl w:val="0"/>
          <w:numId w:val="1"/>
        </w:numPr>
        <w:spacing w:after="0"/>
        <w:rPr>
          <w:rFonts w:eastAsia="Times New Roman"/>
        </w:rPr>
      </w:pPr>
      <w:r>
        <w:rPr>
          <w:rFonts w:eastAsia="Times New Roman"/>
        </w:rPr>
        <w:t>Modul FI</w:t>
      </w:r>
    </w:p>
    <w:p w:rsidR="00BE4651" w:rsidRDefault="00BE4651" w:rsidP="00BE4651">
      <w:pPr>
        <w:numPr>
          <w:ilvl w:val="1"/>
          <w:numId w:val="1"/>
        </w:numPr>
        <w:spacing w:after="0"/>
        <w:rPr>
          <w:rFonts w:eastAsia="Times New Roman"/>
        </w:rPr>
      </w:pPr>
      <w:r>
        <w:rPr>
          <w:rFonts w:eastAsia="Times New Roman"/>
        </w:rPr>
        <w:t>Nastavený je jeden účetní okruh a šest závodů. Jsou využívány tyto hlavní skupiny funkcí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Účetnictví hlavní knihy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Kmenová data hlavní knihy – účtová osnova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Účetnictví dodavatelů a odběratelů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Kmenová data obchodních partnerů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Proces upomínání obchodních partnerů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 xml:space="preserve">Styk s bankami – </w:t>
      </w:r>
      <w:proofErr w:type="spellStart"/>
      <w:r w:rsidRPr="00BE4651">
        <w:rPr>
          <w:rFonts w:eastAsia="Times New Roman"/>
        </w:rPr>
        <w:t>banking</w:t>
      </w:r>
      <w:proofErr w:type="spellEnd"/>
      <w:r w:rsidRPr="00BE4651">
        <w:rPr>
          <w:rFonts w:eastAsia="Times New Roman"/>
        </w:rPr>
        <w:t xml:space="preserve"> – automatický platební tuzemský i zahraniční styk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Periodické závěrkové práce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Správa daní – Kontrolní a souhrnné hlášení DPH, záznamní povinnost, nespolehlivý plátce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Účetní konsolidace státu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Pokladní deník, operace s pokladnou</w:t>
      </w:r>
    </w:p>
    <w:p w:rsidR="00BE4651" w:rsidRDefault="00BE4651" w:rsidP="00BE4651">
      <w:pPr>
        <w:numPr>
          <w:ilvl w:val="0"/>
          <w:numId w:val="3"/>
        </w:numPr>
        <w:spacing w:after="0"/>
        <w:rPr>
          <w:rFonts w:eastAsia="Times New Roman"/>
        </w:rPr>
      </w:pPr>
      <w:r>
        <w:rPr>
          <w:rFonts w:eastAsia="Times New Roman"/>
        </w:rPr>
        <w:t xml:space="preserve">Modul CO </w:t>
      </w:r>
    </w:p>
    <w:p w:rsidR="00BE4651" w:rsidRPr="00BE4651" w:rsidRDefault="00BE4651" w:rsidP="00BE4651">
      <w:pPr>
        <w:numPr>
          <w:ilvl w:val="1"/>
          <w:numId w:val="1"/>
        </w:numPr>
        <w:spacing w:after="0"/>
      </w:pPr>
      <w:r>
        <w:t>S</w:t>
      </w:r>
      <w:r w:rsidRPr="00BE4651">
        <w:t>ledování plánovaných a skutečných toků nákladů na různých objektech controllingu – nákladové/výnosové druhy, nákladová střediska, vnitropodnikové zakázky. Provádí se vyhodnocování těchto controllingových objektů za jednotlivé úrovně řízení a za společnost jako celek</w:t>
      </w:r>
    </w:p>
    <w:p w:rsidR="00BE4651" w:rsidRDefault="00BE4651" w:rsidP="00BE4651">
      <w:pPr>
        <w:numPr>
          <w:ilvl w:val="1"/>
          <w:numId w:val="1"/>
        </w:numPr>
        <w:spacing w:after="0"/>
      </w:pPr>
      <w:r>
        <w:t xml:space="preserve">Účetnictví nákladového střediska – kmenová data, plánování, manuální přeúčtování výnosů a nákladů, přeúčtování jednotlivých položek, zúčtování a přeúčtování výkonů, skutečný plánovací tarif, </w:t>
      </w:r>
      <w:proofErr w:type="spellStart"/>
      <w:r>
        <w:t>batchman</w:t>
      </w:r>
      <w:proofErr w:type="spellEnd"/>
      <w:r>
        <w:t xml:space="preserve">  (převzetí externích dat), statistické ukazatele, standardní hierarchie, informační systém – standardní výkazy + zákaznické výkazy zpracované dodavatelem</w:t>
      </w:r>
    </w:p>
    <w:p w:rsidR="00BE4651" w:rsidRDefault="00BE4651" w:rsidP="00BE4651">
      <w:pPr>
        <w:numPr>
          <w:ilvl w:val="1"/>
          <w:numId w:val="1"/>
        </w:numPr>
        <w:spacing w:after="0"/>
      </w:pPr>
      <w:r>
        <w:t>Účetnictví  nákladových druhů - kmenová data, plánování, manuální přeúčtování výnosů a nákladů, přeúčtování jednotlivých položek, zúčtování a přeúčtování zúčtování výkonů, informační systém – standardní výkazy</w:t>
      </w:r>
    </w:p>
    <w:p w:rsidR="00BE4651" w:rsidRDefault="00BE4651" w:rsidP="00BE4651">
      <w:pPr>
        <w:numPr>
          <w:ilvl w:val="1"/>
          <w:numId w:val="1"/>
        </w:numPr>
        <w:spacing w:after="0"/>
      </w:pPr>
      <w:r>
        <w:t>Vnitropodnikové zakázky - kmenová data, plánování, manuální přeúčtování výnosů a nákladů, přeúčtování jednotlivých položek, zúčtování a přeúčtování výkonů</w:t>
      </w:r>
    </w:p>
    <w:p w:rsidR="00BE4651" w:rsidRDefault="00BE4651" w:rsidP="00BE4651">
      <w:pPr>
        <w:numPr>
          <w:ilvl w:val="1"/>
          <w:numId w:val="1"/>
        </w:numPr>
        <w:spacing w:after="0"/>
      </w:pPr>
      <w:r>
        <w:t>Uzávěrka období – definice rozvržení, rozúčtování, periodické přeúčtování</w:t>
      </w:r>
    </w:p>
    <w:p w:rsidR="00BE4651" w:rsidRDefault="00BE4651" w:rsidP="00BE4651">
      <w:pPr>
        <w:numPr>
          <w:ilvl w:val="0"/>
          <w:numId w:val="1"/>
        </w:numPr>
        <w:spacing w:after="0"/>
        <w:rPr>
          <w:rFonts w:eastAsia="Times New Roman"/>
        </w:rPr>
      </w:pPr>
      <w:r>
        <w:rPr>
          <w:rFonts w:eastAsia="Times New Roman"/>
        </w:rPr>
        <w:t>Modul AM</w:t>
      </w:r>
      <w:r>
        <w:rPr>
          <w:rFonts w:eastAsia="Times New Roman"/>
          <w:color w:val="1F497D"/>
        </w:rPr>
        <w:t xml:space="preserve">- </w:t>
      </w:r>
      <w:r>
        <w:rPr>
          <w:rFonts w:eastAsia="Times New Roman"/>
          <w:color w:val="FF0000"/>
        </w:rPr>
        <w:t>FI-AA</w:t>
      </w:r>
    </w:p>
    <w:p w:rsidR="00BE4651" w:rsidRDefault="00BE4651" w:rsidP="00BE4651">
      <w:pPr>
        <w:numPr>
          <w:ilvl w:val="1"/>
          <w:numId w:val="1"/>
        </w:numPr>
        <w:spacing w:after="0"/>
        <w:rPr>
          <w:rFonts w:eastAsia="Times New Roman"/>
        </w:rPr>
      </w:pPr>
      <w:r>
        <w:rPr>
          <w:rFonts w:eastAsia="Times New Roman"/>
        </w:rPr>
        <w:t>Sledování a podchycení životního cyklu dlouhodobého majetku ve funkcionalitách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Odpisový plán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Odpisové oblasti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Odpisové klíče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Třídy investičního majetku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Účtování odpisů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Účetnictví investičního majetku – likvidace faktur bez vazby na objednávku, pohyby majetku (zařazení, vyřazení)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Údržba karet IM – kmenová data, doplňující data, odpisové klíče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Periodické práce – měsíční závěrky-odpisový běh, roční závěrky, změna fiskálního roku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lastRenderedPageBreak/>
        <w:t>Informační systém k IM – standardní výkazy, výkazy dle požadavků-ZAA (pohyby majetku, karty IM, číselníky)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Doplňující evidence k IM – informace o uplatnění DPH, TZ atp.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Hromadné změny v kartách IM – hromadné zakládání karet IM, hromadné změny v kartách IM, hromadné účtování na karty IM – na základě požadavků KZ zpracovává konzultant SAP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Postrádáme automatické aktualizace/změny nastavení modulů v souvislosti se změnou  legislativy</w:t>
      </w:r>
    </w:p>
    <w:p w:rsidR="00BE4651" w:rsidRPr="00BE4651" w:rsidRDefault="00BE4651" w:rsidP="00BE4651">
      <w:pPr>
        <w:numPr>
          <w:ilvl w:val="1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Řádnou i mimořádnou Inventarizaci majetku provádí fyzicky osoby jmenované do inventarizačních komisí (není zavedena inventarizace čárovým kódem).</w:t>
      </w:r>
    </w:p>
    <w:p w:rsidR="00B96573" w:rsidRPr="006B44CD" w:rsidRDefault="00B96573" w:rsidP="00B96573">
      <w:pPr>
        <w:numPr>
          <w:ilvl w:val="0"/>
          <w:numId w:val="1"/>
        </w:numPr>
        <w:spacing w:after="0"/>
      </w:pPr>
      <w:r w:rsidRPr="006B44CD">
        <w:t>Modul IM</w:t>
      </w:r>
    </w:p>
    <w:p w:rsidR="00B96573" w:rsidRPr="006B44CD" w:rsidRDefault="00B96573" w:rsidP="00B96573">
      <w:pPr>
        <w:numPr>
          <w:ilvl w:val="1"/>
          <w:numId w:val="1"/>
        </w:numPr>
        <w:spacing w:after="0"/>
      </w:pPr>
      <w:r w:rsidRPr="006B44CD">
        <w:t>Plánování, rozpočtování a sledování skutečných nákladů. Funkcionality modulu se nevyužívají, nastavení a definice investičních programů je původní z roku 2008. Nastaveny jsou tyto funkcionality</w:t>
      </w:r>
    </w:p>
    <w:p w:rsidR="00B96573" w:rsidRPr="006B44CD" w:rsidRDefault="00B96573" w:rsidP="00B96573">
      <w:pPr>
        <w:numPr>
          <w:ilvl w:val="2"/>
          <w:numId w:val="1"/>
        </w:numPr>
        <w:spacing w:after="0"/>
      </w:pPr>
      <w:r w:rsidRPr="006B44CD">
        <w:t>Investiční program a jeho položky</w:t>
      </w:r>
    </w:p>
    <w:p w:rsidR="00B96573" w:rsidRPr="006B44CD" w:rsidRDefault="00B96573" w:rsidP="00B96573">
      <w:pPr>
        <w:numPr>
          <w:ilvl w:val="2"/>
          <w:numId w:val="1"/>
        </w:numPr>
        <w:spacing w:after="0"/>
      </w:pPr>
      <w:r w:rsidRPr="006B44CD">
        <w:t>Požadavky na investiční opatření</w:t>
      </w:r>
    </w:p>
    <w:p w:rsidR="00B96573" w:rsidRPr="006B44CD" w:rsidRDefault="00B96573" w:rsidP="00B96573">
      <w:pPr>
        <w:numPr>
          <w:ilvl w:val="2"/>
          <w:numId w:val="1"/>
        </w:numPr>
        <w:spacing w:after="0"/>
      </w:pPr>
      <w:r w:rsidRPr="006B44CD">
        <w:t>Investiční zakázky</w:t>
      </w:r>
    </w:p>
    <w:p w:rsidR="00B96573" w:rsidRPr="006B44CD" w:rsidRDefault="00B96573" w:rsidP="00B96573">
      <w:pPr>
        <w:numPr>
          <w:ilvl w:val="2"/>
          <w:numId w:val="1"/>
        </w:numPr>
        <w:spacing w:after="0"/>
      </w:pPr>
      <w:r w:rsidRPr="006B44CD">
        <w:t>Plánování v investičním programu</w:t>
      </w:r>
    </w:p>
    <w:p w:rsidR="00B96573" w:rsidRPr="006B44CD" w:rsidRDefault="00B96573" w:rsidP="00B96573">
      <w:pPr>
        <w:numPr>
          <w:ilvl w:val="2"/>
          <w:numId w:val="1"/>
        </w:numPr>
        <w:spacing w:after="0"/>
      </w:pPr>
      <w:r w:rsidRPr="006B44CD">
        <w:t>Rozpočtování v investičním programu</w:t>
      </w:r>
    </w:p>
    <w:p w:rsidR="00BE4651" w:rsidRDefault="00BE4651" w:rsidP="00BE4651">
      <w:pPr>
        <w:numPr>
          <w:ilvl w:val="0"/>
          <w:numId w:val="8"/>
        </w:numPr>
        <w:spacing w:after="0"/>
        <w:rPr>
          <w:rFonts w:eastAsia="Times New Roman"/>
        </w:rPr>
      </w:pPr>
      <w:r>
        <w:rPr>
          <w:rFonts w:eastAsia="Times New Roman"/>
        </w:rPr>
        <w:t>Modul MM</w:t>
      </w:r>
    </w:p>
    <w:p w:rsidR="00BE4651" w:rsidRDefault="00BE4651" w:rsidP="00BE4651">
      <w:pPr>
        <w:numPr>
          <w:ilvl w:val="1"/>
          <w:numId w:val="8"/>
        </w:numPr>
        <w:spacing w:after="0"/>
        <w:rPr>
          <w:rFonts w:eastAsia="Times New Roman"/>
        </w:rPr>
      </w:pPr>
      <w:r>
        <w:rPr>
          <w:rFonts w:eastAsia="Times New Roman"/>
        </w:rPr>
        <w:t>Realizace procesů v oblasti nákupu a skladového hospodářství. Jsou využívány tyto funkcionality</w:t>
      </w:r>
    </w:p>
    <w:p w:rsidR="00BE4651" w:rsidRPr="00BE4651" w:rsidRDefault="00BE4651" w:rsidP="00BE4651">
      <w:pPr>
        <w:numPr>
          <w:ilvl w:val="2"/>
          <w:numId w:val="8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Kmenová data materiálu</w:t>
      </w:r>
    </w:p>
    <w:p w:rsidR="00BE4651" w:rsidRPr="00BE4651" w:rsidRDefault="00BE4651" w:rsidP="00BE4651">
      <w:pPr>
        <w:numPr>
          <w:ilvl w:val="2"/>
          <w:numId w:val="8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Ocenění zásob – průměrnou pořizovací cenou, včetně DPH, bez DPH ve vyčleněných skladech (potraviny)</w:t>
      </w:r>
    </w:p>
    <w:p w:rsidR="00BE4651" w:rsidRPr="00BE4651" w:rsidRDefault="00BE4651" w:rsidP="00BE4651">
      <w:pPr>
        <w:numPr>
          <w:ilvl w:val="2"/>
          <w:numId w:val="8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Materiálové účetnictví – zaúčtování pohybů skladových zásob je automaticky přenášeno do modulu FI, přeskladnění, evidence OOPP na osobní karty</w:t>
      </w:r>
    </w:p>
    <w:p w:rsidR="00BE4651" w:rsidRPr="00BE4651" w:rsidRDefault="00BE4651" w:rsidP="00BE4651">
      <w:pPr>
        <w:numPr>
          <w:ilvl w:val="2"/>
          <w:numId w:val="8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Nákup (nevyužívá se funkce požadavků na objednávky) s referencí k objednávce</w:t>
      </w:r>
    </w:p>
    <w:p w:rsidR="00BE4651" w:rsidRPr="00BE4651" w:rsidRDefault="00BE4651" w:rsidP="00BE4651">
      <w:pPr>
        <w:numPr>
          <w:ilvl w:val="2"/>
          <w:numId w:val="9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Vedení zásob (množství, jednotková cena, celková cena, druh pohybu, nákladová střediska, hromadná storna…)</w:t>
      </w:r>
    </w:p>
    <w:p w:rsidR="00BE4651" w:rsidRPr="00BE4651" w:rsidRDefault="00BE4651" w:rsidP="00BE4651">
      <w:pPr>
        <w:numPr>
          <w:ilvl w:val="2"/>
          <w:numId w:val="9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Likvidace faktur (vazba na objednávku)</w:t>
      </w:r>
    </w:p>
    <w:p w:rsidR="00BE4651" w:rsidRPr="00BE4651" w:rsidRDefault="00BE4651" w:rsidP="00BE4651">
      <w:pPr>
        <w:numPr>
          <w:ilvl w:val="2"/>
          <w:numId w:val="9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 xml:space="preserve">Inventura – fyzické zjištění, vyhodnocení </w:t>
      </w:r>
      <w:proofErr w:type="spellStart"/>
      <w:r w:rsidRPr="00BE4651">
        <w:rPr>
          <w:rFonts w:eastAsia="Times New Roman"/>
        </w:rPr>
        <w:t>inv</w:t>
      </w:r>
      <w:proofErr w:type="spellEnd"/>
      <w:r w:rsidRPr="00BE4651">
        <w:rPr>
          <w:rFonts w:eastAsia="Times New Roman"/>
        </w:rPr>
        <w:t>. rozdílů a jejich automatické zaúčtování do modulu FI</w:t>
      </w:r>
    </w:p>
    <w:p w:rsidR="00BE4651" w:rsidRPr="00BE4651" w:rsidRDefault="00BE4651" w:rsidP="00BE4651">
      <w:pPr>
        <w:numPr>
          <w:ilvl w:val="2"/>
          <w:numId w:val="9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Hodnocení dodavatelů</w:t>
      </w:r>
    </w:p>
    <w:p w:rsidR="00BE4651" w:rsidRPr="00BE4651" w:rsidRDefault="00BE4651" w:rsidP="00BE4651">
      <w:pPr>
        <w:numPr>
          <w:ilvl w:val="2"/>
          <w:numId w:val="9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Objednávky (stav nevyřízených objednávek/dodávek) </w:t>
      </w:r>
    </w:p>
    <w:p w:rsidR="00BE4651" w:rsidRPr="00BE4651" w:rsidRDefault="00BE4651" w:rsidP="00BE4651">
      <w:pPr>
        <w:numPr>
          <w:ilvl w:val="2"/>
          <w:numId w:val="9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 xml:space="preserve">Propojení systému SAP se systémem </w:t>
      </w:r>
      <w:proofErr w:type="spellStart"/>
      <w:r w:rsidRPr="00BE4651">
        <w:rPr>
          <w:rFonts w:eastAsia="Times New Roman"/>
        </w:rPr>
        <w:t>např.NEOS</w:t>
      </w:r>
      <w:proofErr w:type="spellEnd"/>
      <w:r w:rsidRPr="00BE4651">
        <w:rPr>
          <w:rFonts w:eastAsia="Times New Roman"/>
        </w:rPr>
        <w:t>, APOTHÉKÉ, apod.</w:t>
      </w:r>
    </w:p>
    <w:p w:rsidR="00BE4651" w:rsidRPr="00BE4651" w:rsidRDefault="00BE4651" w:rsidP="00BE4651">
      <w:pPr>
        <w:numPr>
          <w:ilvl w:val="0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Modul SD</w:t>
      </w:r>
    </w:p>
    <w:p w:rsidR="00BE4651" w:rsidRPr="00BE4651" w:rsidRDefault="00BE4651" w:rsidP="00BE4651">
      <w:pPr>
        <w:numPr>
          <w:ilvl w:val="1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Realizace a sledování plánovaného a skutečného prodeje služeb a zboží.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Prodejní organizace-cesta odbytu-obor, oblasti odbytu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 xml:space="preserve">Kmenová data materiálu-služby 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Kmenová data odběratele</w:t>
      </w:r>
    </w:p>
    <w:p w:rsidR="00BE4651" w:rsidRPr="00BE4651" w:rsidRDefault="00BE4651" w:rsidP="00BE4651">
      <w:pPr>
        <w:numPr>
          <w:ilvl w:val="2"/>
          <w:numId w:val="1"/>
        </w:numPr>
        <w:spacing w:after="0"/>
        <w:rPr>
          <w:rFonts w:eastAsia="Times New Roman"/>
        </w:rPr>
      </w:pPr>
      <w:r w:rsidRPr="00BE4651">
        <w:rPr>
          <w:rFonts w:eastAsia="Times New Roman"/>
        </w:rPr>
        <w:t>Odběratelská fakturace</w:t>
      </w:r>
    </w:p>
    <w:p w:rsidR="00B96573" w:rsidRPr="006B44CD" w:rsidRDefault="00B96573" w:rsidP="00B96573">
      <w:pPr>
        <w:numPr>
          <w:ilvl w:val="0"/>
          <w:numId w:val="1"/>
        </w:numPr>
        <w:spacing w:after="0"/>
      </w:pPr>
      <w:r w:rsidRPr="006B44CD">
        <w:t>Modul PM</w:t>
      </w:r>
    </w:p>
    <w:p w:rsidR="00B96573" w:rsidRPr="006B44CD" w:rsidRDefault="00B96573" w:rsidP="00B96573">
      <w:pPr>
        <w:numPr>
          <w:ilvl w:val="1"/>
          <w:numId w:val="1"/>
        </w:numPr>
        <w:spacing w:after="0"/>
      </w:pPr>
      <w:r w:rsidRPr="006B44CD">
        <w:t>Správa a údržba zdravotnické techniky a metrologie</w:t>
      </w:r>
    </w:p>
    <w:p w:rsidR="00B96573" w:rsidRPr="006B44CD" w:rsidRDefault="00B96573" w:rsidP="00B96573">
      <w:pPr>
        <w:numPr>
          <w:ilvl w:val="2"/>
          <w:numId w:val="1"/>
        </w:numPr>
        <w:spacing w:after="0"/>
      </w:pPr>
      <w:r w:rsidRPr="006B44CD">
        <w:lastRenderedPageBreak/>
        <w:t>Technická místa a vybavení</w:t>
      </w:r>
    </w:p>
    <w:p w:rsidR="00B96573" w:rsidRPr="006B44CD" w:rsidRDefault="00B96573" w:rsidP="00B96573">
      <w:pPr>
        <w:numPr>
          <w:ilvl w:val="2"/>
          <w:numId w:val="1"/>
        </w:numPr>
        <w:spacing w:after="0"/>
      </w:pPr>
      <w:r w:rsidRPr="006B44CD">
        <w:t>Realizace údržby</w:t>
      </w:r>
    </w:p>
    <w:p w:rsidR="00B96573" w:rsidRPr="006B44CD" w:rsidRDefault="00B96573" w:rsidP="00B96573">
      <w:pPr>
        <w:numPr>
          <w:ilvl w:val="2"/>
          <w:numId w:val="1"/>
        </w:numPr>
        <w:spacing w:after="0"/>
      </w:pPr>
      <w:r w:rsidRPr="006B44CD">
        <w:t>Plánování preventivní údržba</w:t>
      </w:r>
    </w:p>
    <w:p w:rsidR="00BE4651" w:rsidRDefault="00BE4651" w:rsidP="00B96573">
      <w:pPr>
        <w:spacing w:after="0"/>
      </w:pPr>
    </w:p>
    <w:p w:rsidR="00B96573" w:rsidRPr="006B44CD" w:rsidRDefault="00B96573" w:rsidP="00B96573">
      <w:pPr>
        <w:spacing w:after="0"/>
      </w:pPr>
      <w:r w:rsidRPr="006B44CD">
        <w:t>V současnosti je licenčně zajištěno provozování 180 licencí, které jsou typově rozděleny takto</w:t>
      </w:r>
    </w:p>
    <w:p w:rsidR="00B96573" w:rsidRPr="006B44CD" w:rsidRDefault="00B96573" w:rsidP="00B96573">
      <w:pPr>
        <w:numPr>
          <w:ilvl w:val="0"/>
          <w:numId w:val="2"/>
        </w:numPr>
        <w:spacing w:after="0"/>
      </w:pPr>
      <w:r w:rsidRPr="006B44CD">
        <w:t>5x Developer</w:t>
      </w:r>
    </w:p>
    <w:p w:rsidR="00B96573" w:rsidRPr="006B44CD" w:rsidRDefault="00B96573" w:rsidP="00B96573">
      <w:pPr>
        <w:numPr>
          <w:ilvl w:val="0"/>
          <w:numId w:val="2"/>
        </w:numPr>
        <w:spacing w:after="0"/>
      </w:pPr>
      <w:r w:rsidRPr="006B44CD">
        <w:t>90x Professional User</w:t>
      </w:r>
    </w:p>
    <w:p w:rsidR="00B96573" w:rsidRPr="006B44CD" w:rsidRDefault="00B96573" w:rsidP="00B96573">
      <w:pPr>
        <w:numPr>
          <w:ilvl w:val="0"/>
          <w:numId w:val="2"/>
        </w:numPr>
        <w:spacing w:after="0"/>
      </w:pPr>
      <w:r w:rsidRPr="006B44CD">
        <w:t>85x Limited Professional User</w:t>
      </w:r>
    </w:p>
    <w:p w:rsidR="00110C7F" w:rsidRDefault="00110C7F"/>
    <w:sectPr w:rsidR="00110C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A2C" w:rsidRDefault="001A5A2C" w:rsidP="00B96573">
      <w:pPr>
        <w:spacing w:after="0" w:line="240" w:lineRule="auto"/>
      </w:pPr>
      <w:r>
        <w:separator/>
      </w:r>
    </w:p>
  </w:endnote>
  <w:endnote w:type="continuationSeparator" w:id="0">
    <w:p w:rsidR="001A5A2C" w:rsidRDefault="001A5A2C" w:rsidP="00B9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A2C" w:rsidRDefault="001A5A2C" w:rsidP="00B96573">
      <w:pPr>
        <w:spacing w:after="0" w:line="240" w:lineRule="auto"/>
      </w:pPr>
      <w:r>
        <w:separator/>
      </w:r>
    </w:p>
  </w:footnote>
  <w:footnote w:type="continuationSeparator" w:id="0">
    <w:p w:rsidR="001A5A2C" w:rsidRDefault="001A5A2C" w:rsidP="00B96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573" w:rsidRDefault="00B96573">
    <w:pPr>
      <w:pStyle w:val="Zhlav"/>
    </w:pPr>
    <w:r>
      <w:ptab w:relativeTo="margin" w:alignment="center" w:leader="none"/>
    </w:r>
    <w:r>
      <w:t>Aplikační část</w:t>
    </w:r>
    <w:r>
      <w:ptab w:relativeTo="margin" w:alignment="right" w:leader="none"/>
    </w:r>
    <w:r w:rsidR="001616C7">
      <w:t xml:space="preserve">Příloha </w:t>
    </w:r>
    <w: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83A73"/>
    <w:multiLevelType w:val="hybridMultilevel"/>
    <w:tmpl w:val="072A3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B10"/>
    <w:multiLevelType w:val="multilevel"/>
    <w:tmpl w:val="A2FE8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875A49"/>
    <w:multiLevelType w:val="hybridMultilevel"/>
    <w:tmpl w:val="D3AE67B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69A0C1E"/>
    <w:multiLevelType w:val="multilevel"/>
    <w:tmpl w:val="25F0D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3304EB"/>
    <w:multiLevelType w:val="multilevel"/>
    <w:tmpl w:val="CAEA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6F1029"/>
    <w:multiLevelType w:val="multilevel"/>
    <w:tmpl w:val="660C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C395C1E"/>
    <w:multiLevelType w:val="multilevel"/>
    <w:tmpl w:val="8CBC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404F6A"/>
    <w:multiLevelType w:val="multilevel"/>
    <w:tmpl w:val="93E8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D2B338F"/>
    <w:multiLevelType w:val="hybridMultilevel"/>
    <w:tmpl w:val="522CF966"/>
    <w:lvl w:ilvl="0" w:tplc="7938F862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73"/>
    <w:rsid w:val="000F72EE"/>
    <w:rsid w:val="00110C7F"/>
    <w:rsid w:val="001616C7"/>
    <w:rsid w:val="001A5527"/>
    <w:rsid w:val="001A5A2C"/>
    <w:rsid w:val="006C323E"/>
    <w:rsid w:val="00756EC1"/>
    <w:rsid w:val="007C3EA3"/>
    <w:rsid w:val="00B96573"/>
    <w:rsid w:val="00BE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295D8"/>
  <w15:docId w15:val="{DE9D281B-7415-42DA-978B-81C26B1D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65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6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6573"/>
  </w:style>
  <w:style w:type="paragraph" w:styleId="Zpat">
    <w:name w:val="footer"/>
    <w:basedOn w:val="Normln"/>
    <w:link w:val="ZpatChar"/>
    <w:uiPriority w:val="99"/>
    <w:unhideWhenUsed/>
    <w:rsid w:val="00B96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6573"/>
  </w:style>
  <w:style w:type="paragraph" w:styleId="Textbubliny">
    <w:name w:val="Balloon Text"/>
    <w:basedOn w:val="Normln"/>
    <w:link w:val="TextbublinyChar"/>
    <w:uiPriority w:val="99"/>
    <w:semiHidden/>
    <w:unhideWhenUsed/>
    <w:rsid w:val="00B9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57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E4651"/>
    <w:pPr>
      <w:spacing w:after="0" w:line="240" w:lineRule="auto"/>
      <w:ind w:left="720"/>
    </w:pPr>
    <w:rPr>
      <w:rFonts w:ascii="Calibri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2</cp:revision>
  <dcterms:created xsi:type="dcterms:W3CDTF">2017-06-12T11:54:00Z</dcterms:created>
  <dcterms:modified xsi:type="dcterms:W3CDTF">2017-06-12T11:54:00Z</dcterms:modified>
</cp:coreProperties>
</file>