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bookmarkStart w:id="0" w:name="_GoBack"/>
      <w:bookmarkEnd w:id="0"/>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myček podložních mís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5: Myčky podložních mís, KZ, a.s. – NEMMO“.</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lastRenderedPageBreak/>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rPr>
          <w:rFonts w:ascii="Arial" w:hAnsi="Arial" w:cs="Arial"/>
          <w:i/>
        </w:rPr>
      </w:pPr>
      <w:r>
        <w:rPr>
          <w:rFonts w:ascii="Arial" w:hAnsi="Arial" w:cs="Arial"/>
          <w:i/>
        </w:rPr>
        <w:t>montáž a instalace zboží v místě plnění včetně připojení na stávající odpady, přívody vody a elektřiny,</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likvidace obalového materiálu,</w:t>
      </w:r>
    </w:p>
    <w:p>
      <w:pPr>
        <w:numPr>
          <w:ilvl w:val="0"/>
          <w:numId w:val="9"/>
        </w:numPr>
        <w:tabs>
          <w:tab w:val="left" w:pos="1134"/>
        </w:tabs>
        <w:spacing w:line="276" w:lineRule="auto"/>
        <w:ind w:left="1134" w:hanging="425"/>
        <w:rPr>
          <w:rFonts w:ascii="Arial" w:hAnsi="Arial" w:cs="Arial"/>
          <w:i/>
        </w:rPr>
      </w:pPr>
      <w:r>
        <w:rPr>
          <w:rFonts w:ascii="Arial" w:hAnsi="Arial" w:cs="Arial"/>
          <w:i/>
        </w:rPr>
        <w:t>demontáž stávajícího přístroje,</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ekologická likvidace stávajícího přístroje.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 xml:space="preserve">Prodávající je oprávněn vystavit daňový doklad (fakturu) až po řádném předání zboží kupujícímu, jak je definováno v čl. III. odst. 2. a 3. smlouvy, a to na základě protokolu o předání zboží </w:t>
      </w:r>
      <w:r>
        <w:rPr>
          <w:rFonts w:ascii="Arial" w:hAnsi="Arial" w:cs="Arial"/>
          <w:color w:val="000000"/>
        </w:rPr>
        <w:lastRenderedPageBreak/>
        <w:t>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90 kalendářních 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Nemocnice Most, o.z.</w:t>
      </w:r>
    </w:p>
    <w:p>
      <w:pPr>
        <w:spacing w:line="276" w:lineRule="auto"/>
        <w:ind w:left="1077" w:firstLine="0"/>
        <w:rPr>
          <w:rFonts w:ascii="Arial" w:hAnsi="Arial" w:cs="Arial"/>
        </w:rPr>
      </w:pPr>
      <w:r>
        <w:rPr>
          <w:rFonts w:ascii="Arial" w:hAnsi="Arial" w:cs="Arial"/>
        </w:rPr>
        <w:t>Interní oddělení - JIP</w:t>
      </w:r>
    </w:p>
    <w:p>
      <w:pPr>
        <w:spacing w:line="276" w:lineRule="auto"/>
        <w:ind w:left="1077" w:firstLine="0"/>
        <w:rPr>
          <w:rFonts w:ascii="Arial" w:hAnsi="Arial" w:cs="Arial"/>
        </w:rPr>
      </w:pPr>
      <w:r>
        <w:rPr>
          <w:rFonts w:ascii="Arial" w:hAnsi="Arial" w:cs="Arial"/>
        </w:rPr>
        <w:t>Jana Evangelisty Purkyně 270</w:t>
      </w:r>
    </w:p>
    <w:p>
      <w:pPr>
        <w:spacing w:line="276" w:lineRule="auto"/>
        <w:ind w:left="1077" w:firstLine="0"/>
        <w:rPr>
          <w:rFonts w:ascii="Arial" w:hAnsi="Arial" w:cs="Arial"/>
        </w:rPr>
      </w:pPr>
      <w:r>
        <w:rPr>
          <w:rFonts w:ascii="Arial" w:hAnsi="Arial" w:cs="Arial"/>
        </w:rPr>
        <w:t xml:space="preserve">434 01 Most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demontáž stávajícího přístroje a</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včetně připojení na stávající odpady, přívody vody a elektřiny,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w:t>
      </w:r>
      <w:r>
        <w:rPr>
          <w:rFonts w:ascii="Arial" w:hAnsi="Arial" w:cs="Arial"/>
          <w:i/>
        </w:rPr>
        <w:lastRenderedPageBreak/>
        <w:t>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13"/>
        </w:numPr>
        <w:spacing w:line="276" w:lineRule="auto"/>
        <w:rPr>
          <w:rFonts w:ascii="Arial" w:hAnsi="Arial" w:cs="Arial"/>
          <w:i/>
        </w:rPr>
      </w:pPr>
      <w:r>
        <w:rPr>
          <w:rFonts w:ascii="Arial" w:hAnsi="Arial" w:cs="Arial"/>
          <w:i/>
        </w:rPr>
        <w:t xml:space="preserve">ekologická likvidace stávajícího přístroje.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w:t>
      </w:r>
      <w:r>
        <w:rPr>
          <w:rFonts w:ascii="Arial" w:hAnsi="Arial" w:cs="Arial"/>
        </w:rPr>
        <w:lastRenderedPageBreak/>
        <w:t xml:space="preserve">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 xml:space="preserve">V případě uplatnění odpovědnosti za vady zboží se prodávající zavazuje, že doba nástupu servisního technika na opravu bude maximálně </w:t>
      </w:r>
      <w:r>
        <w:rPr>
          <w:rFonts w:ascii="Arial" w:hAnsi="Arial" w:cs="Arial"/>
          <w:b/>
        </w:rPr>
        <w:t>48 hodin</w:t>
      </w:r>
      <w:r>
        <w:rPr>
          <w:rFonts w:ascii="Arial" w:hAnsi="Arial" w:cs="Arial"/>
        </w:rPr>
        <w:t xml:space="preserve">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w:t>
      </w:r>
      <w:r>
        <w:rPr>
          <w:rFonts w:ascii="Arial" w:hAnsi="Arial" w:cs="Arial"/>
          <w:b/>
        </w:rPr>
        <w:t>4 kalendářní dny</w:t>
      </w:r>
      <w:r>
        <w:rPr>
          <w:rFonts w:ascii="Arial" w:hAnsi="Arial" w:cs="Arial"/>
        </w:rPr>
        <w:t xml:space="preserve">.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 xml:space="preserve">Prodávající se zavazuje, že v případě, že nebude možné vady zboží odstranit na místě do lhůty uvedené v odstavci 9. tohoto článku, poskytne kupujícímu nejpozději do </w:t>
      </w:r>
      <w:r>
        <w:rPr>
          <w:rFonts w:ascii="Arial" w:hAnsi="Arial" w:cs="Arial"/>
          <w:b/>
        </w:rPr>
        <w:t>48 hodin</w:t>
      </w:r>
      <w:r>
        <w:rPr>
          <w:rFonts w:ascii="Arial" w:hAnsi="Arial" w:cs="Arial"/>
        </w:rPr>
        <w:t xml:space="preserve">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lastRenderedPageBreak/>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Kč bez DPH, jejíž bližší specifikace je uvedena v příloze č. 2 této smlouvy. Úplata za poskytování pozáručního servisu bude kupujícím hrazena průběžně v ročních platbách na základě daňového dokladu (faktury) vystaveného vždy k prvnímu dni následujícího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0,2 </w:t>
      </w:r>
      <w:r>
        <w:rPr>
          <w:rFonts w:ascii="Arial" w:hAnsi="Arial" w:cs="Arial"/>
        </w:rPr>
        <w:lastRenderedPageBreak/>
        <w:t>%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lastRenderedPageBreak/>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1</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2.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4.xml><?xml version="1.0" encoding="utf-8"?>
<ds:datastoreItem xmlns:ds="http://schemas.openxmlformats.org/officeDocument/2006/customXml" ds:itemID="{B52AABEA-E2D2-437E-A2E1-EF9DFE819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3847</Words>
  <Characters>22699</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26494</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2025-06-16T06:41:00Z</dcterms:created>
  <dcterms:modified xsi:type="dcterms:W3CDTF">2025-06-16T06:41:00Z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