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1B91" w14:textId="77777777" w:rsidR="00593FA1" w:rsidRPr="00593FA1" w:rsidRDefault="00593FA1" w:rsidP="00593FA1">
      <w:pPr>
        <w:tabs>
          <w:tab w:val="left" w:pos="7655"/>
        </w:tabs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593FA1">
        <w:rPr>
          <w:rFonts w:eastAsia="Times New Roman" w:cs="Arial"/>
          <w:b/>
          <w:sz w:val="28"/>
          <w:szCs w:val="28"/>
          <w:lang w:eastAsia="cs-CZ"/>
        </w:rPr>
        <w:t>ZADÁVACÍ DOKUMENTACE</w:t>
      </w:r>
    </w:p>
    <w:p w14:paraId="218A4253" w14:textId="77777777" w:rsidR="00593FA1" w:rsidRPr="00593FA1" w:rsidRDefault="00593FA1" w:rsidP="00593FA1">
      <w:pPr>
        <w:tabs>
          <w:tab w:val="left" w:pos="7655"/>
        </w:tabs>
        <w:spacing w:before="240"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pro nadlimitní veřejnou zakázku na dodávky zadávanou v otevřeném řízení </w:t>
      </w:r>
    </w:p>
    <w:p w14:paraId="501F29EA" w14:textId="77777777" w:rsidR="00593FA1" w:rsidRPr="00593FA1" w:rsidRDefault="00593FA1" w:rsidP="00593FA1">
      <w:pPr>
        <w:tabs>
          <w:tab w:val="left" w:pos="7655"/>
        </w:tabs>
        <w:spacing w:line="240" w:lineRule="auto"/>
        <w:jc w:val="center"/>
        <w:rPr>
          <w:rFonts w:eastAsia="Times New Roman" w:cs="Arial"/>
          <w:bCs/>
          <w:iCs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dle § 56 a násl. zákona č. 134/2016 Sb., o zadávání veřejných zakázek, ve znění pozdějších předpisů.</w:t>
      </w:r>
    </w:p>
    <w:p w14:paraId="5697E5F3" w14:textId="77777777" w:rsidR="00593FA1" w:rsidRPr="00593FA1" w:rsidRDefault="00593FA1" w:rsidP="00593FA1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1C5D835B" w14:textId="77777777" w:rsidR="00593FA1" w:rsidRPr="00593FA1" w:rsidRDefault="00593FA1" w:rsidP="00593FA1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593FA1">
        <w:rPr>
          <w:rFonts w:eastAsia="Times New Roman" w:cs="Arial"/>
          <w:b/>
          <w:sz w:val="20"/>
          <w:szCs w:val="20"/>
          <w:lang w:eastAsia="cs-CZ"/>
        </w:rPr>
        <w:t>Název veřejné zakázky</w:t>
      </w:r>
    </w:p>
    <w:p w14:paraId="4A84F8FF" w14:textId="77777777" w:rsidR="00593FA1" w:rsidRPr="00593FA1" w:rsidRDefault="00593FA1" w:rsidP="00593FA1">
      <w:pPr>
        <w:spacing w:line="240" w:lineRule="auto"/>
        <w:ind w:left="360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6A513EA7" w14:textId="77777777" w:rsidR="00593FA1" w:rsidRPr="00593FA1" w:rsidRDefault="00593FA1" w:rsidP="00593FA1">
      <w:pPr>
        <w:tabs>
          <w:tab w:val="left" w:pos="5625"/>
        </w:tabs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593FA1">
        <w:rPr>
          <w:rFonts w:eastAsia="Times New Roman" w:cs="Arial"/>
          <w:b/>
          <w:sz w:val="28"/>
          <w:szCs w:val="28"/>
          <w:lang w:eastAsia="cs-CZ"/>
        </w:rPr>
        <w:t>Neurochirurgický operační mikroskop</w:t>
      </w:r>
    </w:p>
    <w:p w14:paraId="49DD7BB6" w14:textId="77777777" w:rsidR="00593FA1" w:rsidRPr="00593FA1" w:rsidRDefault="00593FA1" w:rsidP="00593FA1">
      <w:pPr>
        <w:tabs>
          <w:tab w:val="left" w:pos="5625"/>
        </w:tabs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50DFD64C" w14:textId="77777777" w:rsidR="00593FA1" w:rsidRPr="00593FA1" w:rsidRDefault="00593FA1" w:rsidP="00593FA1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593FA1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362D1201" w14:textId="77777777" w:rsidR="00593FA1" w:rsidRPr="00593FA1" w:rsidRDefault="00593FA1" w:rsidP="00593FA1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593FA1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7A187585" w14:textId="77777777" w:rsidR="00593FA1" w:rsidRPr="00593FA1" w:rsidRDefault="00593FA1" w:rsidP="00593FA1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se sídlem Sociální péče 3316/12 a, 400 11 Ústí nad Labem, </w:t>
      </w:r>
    </w:p>
    <w:p w14:paraId="17616242" w14:textId="77777777" w:rsidR="00593FA1" w:rsidRPr="00593FA1" w:rsidRDefault="00593FA1" w:rsidP="00593FA1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IČO: 25488627, zapsaná v obchodním rejstříku vedeném Krajským soudem v Ústí nad Labem, oddíl B,</w:t>
      </w:r>
    </w:p>
    <w:p w14:paraId="0E034A08" w14:textId="77777777" w:rsidR="00593FA1" w:rsidRPr="00593FA1" w:rsidRDefault="00593FA1" w:rsidP="00593FA1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 vložka 1550</w:t>
      </w:r>
    </w:p>
    <w:p w14:paraId="2F3BD665" w14:textId="173BB0D0" w:rsidR="00593FA1" w:rsidRPr="00593FA1" w:rsidRDefault="00593FA1" w:rsidP="00593FA1">
      <w:pPr>
        <w:spacing w:before="240"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Zastoupená: MUDr. </w:t>
      </w:r>
      <w:r w:rsidR="00FF1194">
        <w:rPr>
          <w:rFonts w:eastAsia="Times New Roman" w:cs="Arial"/>
          <w:sz w:val="20"/>
          <w:szCs w:val="20"/>
          <w:lang w:eastAsia="cs-CZ"/>
        </w:rPr>
        <w:t>Tomášem Hrubým</w:t>
      </w:r>
      <w:r w:rsidR="00556E59">
        <w:rPr>
          <w:rFonts w:eastAsia="Times New Roman" w:cs="Arial"/>
          <w:sz w:val="20"/>
          <w:szCs w:val="20"/>
          <w:lang w:eastAsia="cs-CZ"/>
        </w:rPr>
        <w:t xml:space="preserve">, </w:t>
      </w:r>
      <w:r w:rsidRPr="00593FA1">
        <w:rPr>
          <w:rFonts w:eastAsia="Times New Roman" w:cs="Arial"/>
          <w:sz w:val="20"/>
          <w:szCs w:val="20"/>
          <w:lang w:eastAsia="cs-CZ"/>
        </w:rPr>
        <w:t>generální</w:t>
      </w:r>
      <w:r w:rsidR="00556E59">
        <w:rPr>
          <w:rFonts w:eastAsia="Times New Roman" w:cs="Arial"/>
          <w:sz w:val="20"/>
          <w:szCs w:val="20"/>
          <w:lang w:eastAsia="cs-CZ"/>
        </w:rPr>
        <w:t>m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ředitele</w:t>
      </w:r>
      <w:r w:rsidR="00556E59">
        <w:rPr>
          <w:rFonts w:eastAsia="Times New Roman" w:cs="Arial"/>
          <w:sz w:val="20"/>
          <w:szCs w:val="20"/>
          <w:lang w:eastAsia="cs-CZ"/>
        </w:rPr>
        <w:t>m</w:t>
      </w:r>
    </w:p>
    <w:p w14:paraId="259CB117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429560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Tato zadávací dokumentace je vypracována jako podklad pro otevřené zadávací řízení nadlimitní veřejné zakázky dle § 56 a násl. zákona č. 134/2016 Sb., o zadávání veřejných zakázek, ve znění pozdějších předpisů (dále jen „ZZVZ“). </w:t>
      </w:r>
    </w:p>
    <w:p w14:paraId="20694B6F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27FA6B6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Pokud dojde k rozporu mezi údaji uvedenými v textové části zadávací dokumentace a údaji uvedenými v oznámení o zahájení zadávacího řízení, platí údaje uvedené v oznámení o zahájení zadávacího řízení.</w:t>
      </w:r>
    </w:p>
    <w:p w14:paraId="762B4F3C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68B96B3" w14:textId="77777777" w:rsidR="00593FA1" w:rsidRPr="00593FA1" w:rsidRDefault="00593FA1" w:rsidP="00593FA1">
      <w:pPr>
        <w:tabs>
          <w:tab w:val="left" w:pos="6825"/>
        </w:tabs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593FA1">
        <w:rPr>
          <w:rFonts w:eastAsia="Times New Roman" w:cs="Arial"/>
          <w:b/>
          <w:bCs/>
          <w:sz w:val="20"/>
          <w:szCs w:val="20"/>
          <w:lang w:eastAsia="cs-CZ"/>
        </w:rPr>
        <w:t>Informace o veřejné zakázce</w:t>
      </w:r>
    </w:p>
    <w:p w14:paraId="64214324" w14:textId="77777777" w:rsidR="00593FA1" w:rsidRPr="00593FA1" w:rsidRDefault="00593FA1" w:rsidP="00593FA1">
      <w:pPr>
        <w:keepNext/>
        <w:keepLines/>
        <w:spacing w:line="240" w:lineRule="auto"/>
        <w:ind w:left="72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6B19AE7E" w14:textId="77777777" w:rsidR="00593FA1" w:rsidRPr="00593FA1" w:rsidRDefault="00593FA1" w:rsidP="00593FA1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593FA1">
        <w:rPr>
          <w:rFonts w:eastAsia="Times New Roman" w:cs="Arial"/>
          <w:b/>
          <w:sz w:val="20"/>
          <w:szCs w:val="20"/>
          <w:lang w:eastAsia="cs-CZ"/>
        </w:rPr>
        <w:t xml:space="preserve">Druh veřejné zakázky: </w:t>
      </w:r>
    </w:p>
    <w:p w14:paraId="0C266DAD" w14:textId="3C060B2B" w:rsidR="00593FA1" w:rsidRPr="006536A4" w:rsidRDefault="00593FA1" w:rsidP="00593FA1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Veřejná zakázka na dodávky</w:t>
      </w:r>
    </w:p>
    <w:p w14:paraId="394A4370" w14:textId="77777777" w:rsidR="00593FA1" w:rsidRPr="00593FA1" w:rsidRDefault="00593FA1" w:rsidP="00593FA1">
      <w:pPr>
        <w:keepNext/>
        <w:keepLines/>
        <w:numPr>
          <w:ilvl w:val="0"/>
          <w:numId w:val="7"/>
        </w:numPr>
        <w:spacing w:before="240" w:line="240" w:lineRule="auto"/>
        <w:outlineLvl w:val="0"/>
        <w:rPr>
          <w:rFonts w:eastAsia="Times New Roman" w:cs="Arial"/>
          <w:b/>
          <w:sz w:val="20"/>
          <w:szCs w:val="20"/>
          <w:lang w:eastAsia="cs-CZ"/>
        </w:rPr>
      </w:pPr>
      <w:bookmarkStart w:id="0" w:name="_Toc365531842"/>
      <w:bookmarkStart w:id="1" w:name="_Toc371919910"/>
      <w:r w:rsidRPr="00593FA1">
        <w:rPr>
          <w:rFonts w:eastAsia="Times New Roman" w:cs="Arial"/>
          <w:b/>
          <w:sz w:val="20"/>
          <w:szCs w:val="20"/>
          <w:lang w:eastAsia="cs-CZ"/>
        </w:rPr>
        <w:t>Vymezení plnění veřejné zakázky</w:t>
      </w:r>
      <w:bookmarkStart w:id="2" w:name="_Toc365531844"/>
      <w:bookmarkStart w:id="3" w:name="_Toc371919912"/>
      <w:bookmarkEnd w:id="0"/>
      <w:bookmarkEnd w:id="1"/>
    </w:p>
    <w:p w14:paraId="710A055D" w14:textId="77777777" w:rsidR="00593FA1" w:rsidRPr="00593FA1" w:rsidRDefault="00593FA1" w:rsidP="00593FA1">
      <w:pPr>
        <w:keepNext/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593FA1">
        <w:rPr>
          <w:rFonts w:eastAsia="Times New Roman" w:cs="Arial"/>
          <w:b/>
          <w:bCs/>
          <w:iCs/>
          <w:sz w:val="20"/>
          <w:szCs w:val="20"/>
          <w:lang w:eastAsia="cs-CZ"/>
        </w:rPr>
        <w:t>Předmět veřejné zakázky</w:t>
      </w:r>
      <w:bookmarkEnd w:id="2"/>
      <w:bookmarkEnd w:id="3"/>
      <w:r w:rsidRPr="00593FA1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</w:t>
      </w:r>
    </w:p>
    <w:p w14:paraId="287CAD48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Předmětem této veřejné zakázky je dodání nového zdravotnického prostředku, a to 1 ks neurochirurgického operačního mikroskopu pro Oddělení centrálních operačních sálů a centrální sterilizace Krajské zdravotní, a.s. – Masarykovy nemocnice v Ústí nad Labem, </w:t>
      </w:r>
      <w:proofErr w:type="spellStart"/>
      <w:r w:rsidRPr="00593FA1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593FA1">
        <w:rPr>
          <w:rFonts w:eastAsia="Times New Roman" w:cs="Arial"/>
          <w:sz w:val="20"/>
          <w:szCs w:val="20"/>
          <w:lang w:eastAsia="cs-CZ"/>
        </w:rPr>
        <w:t>., spolu s odpovídajícím příslušenstvím, včetně:</w:t>
      </w:r>
    </w:p>
    <w:p w14:paraId="52107D98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DAF1346" w14:textId="77777777" w:rsidR="00593FA1" w:rsidRPr="00593FA1" w:rsidRDefault="00593FA1" w:rsidP="00593FA1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dopravy zboží do místa plnění,</w:t>
      </w:r>
    </w:p>
    <w:p w14:paraId="20834337" w14:textId="77777777" w:rsidR="00593FA1" w:rsidRPr="00593FA1" w:rsidRDefault="00593FA1" w:rsidP="00593FA1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jeho montáže, instalace a uvedení do provozu včetně ověření jeho funkčnosti,</w:t>
      </w:r>
    </w:p>
    <w:p w14:paraId="66B66633" w14:textId="77777777" w:rsidR="00593FA1" w:rsidRPr="00593FA1" w:rsidRDefault="00593FA1" w:rsidP="00593FA1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provedení všech přejímacích a provozních testů a zkoušek dle platné legislativy a provedení příslušných revizí,</w:t>
      </w:r>
    </w:p>
    <w:p w14:paraId="7E7BAED4" w14:textId="77777777" w:rsidR="00593FA1" w:rsidRPr="00593FA1" w:rsidRDefault="00593FA1" w:rsidP="00593FA1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 xml:space="preserve">ověření deklarovaných technických parametrů nabízeného přístroje dle technické specifikace, </w:t>
      </w:r>
    </w:p>
    <w:p w14:paraId="2B08EF27" w14:textId="77777777" w:rsidR="006536A4" w:rsidRDefault="00593FA1" w:rsidP="00593FA1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instruktáže zdravotnických pracovníků zadavatele (dle § 41 odst. 2 zákona č. 375/2022 Sb., o zdravotnických prostředcích a diagnostických zdravotnických prostředcích in vitro, ve znění pozdějších předpisů (dále i jako „zákon o zdravotnických prostředcích“), pokud se jedná o zdravotnický prostředek), včetně vystavení protokolu o instruktáži. Pokud výrobce zdravotnického prostředku nestanovil povinnost instruktáže osoby používající nebo obsluhující daný zdravotnický prostředek v návodu k použití tohoto zdravotnického prostředku, vybraný dodavatel seznámí zdravotnické pracovníky a pracovníka odboru obslužných klinických</w:t>
      </w:r>
    </w:p>
    <w:p w14:paraId="69EF0854" w14:textId="1768D03A" w:rsidR="00593FA1" w:rsidRPr="00593FA1" w:rsidRDefault="00593FA1" w:rsidP="006536A4">
      <w:pPr>
        <w:tabs>
          <w:tab w:val="left" w:pos="284"/>
        </w:tabs>
        <w:spacing w:line="240" w:lineRule="auto"/>
        <w:ind w:left="720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lastRenderedPageBreak/>
        <w:t>činnosti zadavatele s návodem k použití zdravotnického prostředku a seznámí je s riziky spojenými s jeho používáním; o seznámení dle předchozí věty vystaví vybraný dodavatel protokol,</w:t>
      </w:r>
    </w:p>
    <w:p w14:paraId="121F6E89" w14:textId="77777777" w:rsidR="00593FA1" w:rsidRPr="00593FA1" w:rsidRDefault="00593FA1" w:rsidP="00593FA1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vystavení protokolu určenému zdravotnickému pracovníkovi, který opravňuje provádět následné instruktáže zdravotnického personálu v používání zboží ve smyslu § 41 odst. 2 zákona o zdravotnických prostředcích,</w:t>
      </w:r>
    </w:p>
    <w:p w14:paraId="5AE04673" w14:textId="77777777" w:rsidR="00593FA1" w:rsidRPr="00593FA1" w:rsidRDefault="00593FA1" w:rsidP="00593FA1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 xml:space="preserve">předání všech příslušných dokladů, </w:t>
      </w:r>
    </w:p>
    <w:p w14:paraId="68FB8AF5" w14:textId="77777777" w:rsidR="00593FA1" w:rsidRPr="00593FA1" w:rsidRDefault="00593FA1" w:rsidP="00593FA1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záručního servisu za podmínek uvedených v obligatorním návrhu kupní smlouvy,</w:t>
      </w:r>
    </w:p>
    <w:p w14:paraId="150EC966" w14:textId="77777777" w:rsidR="00593FA1" w:rsidRPr="00593FA1" w:rsidRDefault="00593FA1" w:rsidP="00593FA1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pozáručního servisu na 96 měsíců za podmínek uvedených v obligatorním návrhu kupní smlouvy,</w:t>
      </w:r>
    </w:p>
    <w:p w14:paraId="73511336" w14:textId="77777777" w:rsidR="00593FA1" w:rsidRPr="00593FA1" w:rsidRDefault="00593FA1" w:rsidP="00593FA1">
      <w:pPr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likvidace obalového materiálu.</w:t>
      </w:r>
    </w:p>
    <w:p w14:paraId="085AF190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3F1C701" w14:textId="77777777" w:rsidR="00593FA1" w:rsidRPr="00593FA1" w:rsidRDefault="00593FA1" w:rsidP="00593FA1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Podrobná specifikace předmětu plnění veřejné zakázky je uvedena a blíže specifikována v příloze č. 2 – Technická specifikace, této zadávací dokumentace. Předmět plnění veřejné zakázky musí splňovat požadavky na charakter a vlastnosti uvedené v příloze č. 2 této zadávací dokumentace.</w:t>
      </w:r>
    </w:p>
    <w:p w14:paraId="0D6C32DB" w14:textId="77777777" w:rsidR="00593FA1" w:rsidRPr="00593FA1" w:rsidRDefault="00593FA1" w:rsidP="00593FA1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AE7A599" w14:textId="77777777" w:rsidR="00593FA1" w:rsidRPr="00593FA1" w:rsidRDefault="00593FA1" w:rsidP="00593FA1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Konkrétní požadavky na dodání předmětu plnění jsou upřesněny v obligatorním návrhu smlouvy.</w:t>
      </w:r>
    </w:p>
    <w:p w14:paraId="73C88E3C" w14:textId="77777777" w:rsidR="00593FA1" w:rsidRPr="00593FA1" w:rsidRDefault="00593FA1" w:rsidP="00593FA1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0581B7" w14:textId="77777777" w:rsidR="00593FA1" w:rsidRPr="00593FA1" w:rsidRDefault="00593FA1" w:rsidP="00593FA1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Pokud není uvedeno v technické specifikaci jinak (např. uvedením požadavku na minimální nebo maximální hodnoty nebo parametry), je v případě uvedení podrobných technických parametrů akceptován toleranční rozsah ± </w:t>
      </w:r>
      <w:proofErr w:type="gramStart"/>
      <w:r w:rsidRPr="00593FA1">
        <w:rPr>
          <w:rFonts w:eastAsia="Times New Roman" w:cs="Arial"/>
          <w:sz w:val="20"/>
          <w:szCs w:val="20"/>
          <w:lang w:eastAsia="cs-CZ"/>
        </w:rPr>
        <w:t>10%</w:t>
      </w:r>
      <w:proofErr w:type="gramEnd"/>
      <w:r w:rsidRPr="00593FA1">
        <w:rPr>
          <w:rFonts w:eastAsia="Times New Roman" w:cs="Arial"/>
          <w:sz w:val="20"/>
          <w:szCs w:val="20"/>
          <w:lang w:eastAsia="cs-CZ"/>
        </w:rPr>
        <w:t xml:space="preserve">. </w:t>
      </w:r>
    </w:p>
    <w:p w14:paraId="1E4E354E" w14:textId="77777777" w:rsidR="00593FA1" w:rsidRPr="00593FA1" w:rsidRDefault="00593FA1" w:rsidP="00593FA1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95FB380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 případě zdravotnického prostředku zadavatel požaduje společně s nabídkou předložení dokladu prokazujícího shodu požadovaného výrobku (prostá kopie v českém jazyce) dle zákona o zdravotnických prostředcích a Nařízení Evropského parlamentu a Rady (EU) 2017/745 ze dne 5. dubna 2017, o zdravotnických prostředcích, změně směrnice 2001/83/ES, nařízení (ES) č. 178/2002 a nařízení (ES) č. 1223/2009 a o zrušení směrnic Rady 90/385/EHS a 93/42/EHS a Nařízení Evropského parlamentu a Rady (EU) 2017/746 ze dne 5. dubna 2017 o diagnostických zdravotnických prostředcích in vitro a o zrušení směrnice 98/79/ES a rozhodnutí Komise 2010/227/EU.</w:t>
      </w:r>
    </w:p>
    <w:p w14:paraId="2775F7E3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3B396C1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Zadavatel dále požaduje, aby veškeré povrchy nabízených výrobků včetně příslušenství bylo možné povrchově dezinfikovat prostředky uvedenými v dezinfekčním programu Krajské zdravotní, a.s. – viz příloha č. 9 této zadávací dokumentace. Dodavatel předloží v nabídce čestné prohlášení o splnění této povinnosti (příloha č. 3 této zadávací dokumentace).  </w:t>
      </w:r>
    </w:p>
    <w:p w14:paraId="4BAB5B68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DE70D6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593FA1">
        <w:rPr>
          <w:rFonts w:eastAsia="Times New Roman" w:cs="Arial"/>
          <w:sz w:val="20"/>
          <w:szCs w:val="20"/>
          <w:lang w:eastAsia="ar-SA"/>
        </w:rPr>
        <w:t xml:space="preserve">Zadavatel tímto informuje dodavatele, že je ve smyslu zákona č. 181/2014 Sb., o kybernetické bezpečnosti a o změně souvisejících zákonů (zákon o kybernetické bezpečnosti), ve znění pozdějších předpisů (dále jen „ZKB“), povinnou osobou (tj. podle § 3 písm. f) a g) ZKB je zadavatel správcem a provozovatelem informačního systému základní služby), a zároveň upozorňuje, že je ve smyslu § 4 odst. 2 ZKB, povinen zavést a provádět bezpečnostní opatření v rozsahu nezbytném pro zajištění kybernetické bezpečnosti provozovaných systémů. V souladu s § 4 odst. 4 ZKB je zadavatel povinen zohlednit požadavky vyplývající z bezpečnostních opatření při výběru dodavatele. Zohlednění požadavků vyplývajících z bezpečnostních opatření tedy nelze považovat za nezákonné omezení hospodářské soutěže nebo neodůvodněnou překážku hospodářské soutěži.   </w:t>
      </w:r>
    </w:p>
    <w:p w14:paraId="7B9B833A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14:paraId="18063ED6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593FA1">
        <w:rPr>
          <w:rFonts w:eastAsia="Times New Roman" w:cs="Arial"/>
          <w:sz w:val="20"/>
          <w:szCs w:val="20"/>
          <w:lang w:eastAsia="ar-SA"/>
        </w:rPr>
        <w:t>Zadavatel tímto upozorňuje dodavatele, že je povinen vyhodnotit rizika spojená s předmětem plnění a povinností vyplývajících ze ZKB a stanovit bezpečnostní požadavky na dodavatele podle § 5 odst. 2 písm. e) ZKB.</w:t>
      </w:r>
    </w:p>
    <w:p w14:paraId="42A54779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9B3BB7B" w14:textId="165C9161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Zadavatel požaduje, aby předmět plnění splňoval standardy zadavatele „Požadavky na provedení a kvalitu ICT“ v plném rozsahu, které tvoří přílohu č. 8 této zadávací dokumentace, a které jsou současně zveřejněné na </w:t>
      </w:r>
      <w:hyperlink r:id="rId8" w:history="1">
        <w:r w:rsidR="00587ACF" w:rsidRPr="00E06952">
          <w:rPr>
            <w:rStyle w:val="Hypertextovodkaz"/>
            <w:rFonts w:eastAsia="Times New Roman" w:cs="Arial"/>
            <w:sz w:val="20"/>
            <w:szCs w:val="20"/>
            <w:lang w:eastAsia="cs-CZ"/>
          </w:rPr>
          <w:t>https://www.kzcr.eu/cz/kz/odbornici/informace-pro-projektanty/</w:t>
        </w:r>
      </w:hyperlink>
      <w:r w:rsidRPr="00593FA1">
        <w:rPr>
          <w:rFonts w:eastAsia="Times New Roman" w:cs="Arial"/>
          <w:sz w:val="20"/>
          <w:szCs w:val="20"/>
          <w:lang w:eastAsia="cs-CZ"/>
        </w:rPr>
        <w:t xml:space="preserve"> Dodavatel předloží v nabídce čestné prohlášení o splnění této povinnosti.</w:t>
      </w:r>
    </w:p>
    <w:p w14:paraId="5F2C454F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E54D3BC" w14:textId="77777777" w:rsidR="006536A4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na základě jím provedené analýzy rizik a plnění svých povinností vyplývajících ze ZKB a vyhlášky č. 82/2018 Sb., o bezpečnostních opatřeních, kybernetických bezpečnostních incidentech, reaktivních opatřeních,</w:t>
      </w:r>
    </w:p>
    <w:p w14:paraId="406BC98E" w14:textId="4447FB88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lastRenderedPageBreak/>
        <w:t>náležitostech podání v oblasti kybernetické bezpečnosti a likvidaci dat (vyhláška o kybernetické bezpečnosti) ve smyslu § 37 odst. 1 písmeno b) a § 89 ZZVZ, požaduje</w:t>
      </w:r>
      <w:r w:rsidR="00FE4587">
        <w:rPr>
          <w:rFonts w:eastAsia="Times New Roman" w:cs="Arial"/>
          <w:sz w:val="20"/>
          <w:szCs w:val="20"/>
          <w:lang w:eastAsia="cs-CZ"/>
        </w:rPr>
        <w:t>,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aby dodavatelé nenabízeli předmět plnění výrobců (Huawei Technologies Co., Ltd., </w:t>
      </w:r>
      <w:proofErr w:type="spellStart"/>
      <w:r w:rsidRPr="00593FA1">
        <w:rPr>
          <w:rFonts w:eastAsia="Times New Roman" w:cs="Arial"/>
          <w:sz w:val="20"/>
          <w:szCs w:val="20"/>
          <w:lang w:eastAsia="cs-CZ"/>
        </w:rPr>
        <w:t>Šen</w:t>
      </w:r>
      <w:proofErr w:type="spellEnd"/>
      <w:r w:rsidRPr="00593FA1">
        <w:rPr>
          <w:rFonts w:eastAsia="Times New Roman" w:cs="Arial"/>
          <w:sz w:val="20"/>
          <w:szCs w:val="20"/>
          <w:lang w:eastAsia="cs-CZ"/>
        </w:rPr>
        <w:t xml:space="preserve">-čen, Čínská lidová republika, a ZTE </w:t>
      </w:r>
      <w:proofErr w:type="spellStart"/>
      <w:r w:rsidRPr="00593FA1">
        <w:rPr>
          <w:rFonts w:eastAsia="Times New Roman" w:cs="Arial"/>
          <w:sz w:val="20"/>
          <w:szCs w:val="20"/>
          <w:lang w:eastAsia="cs-CZ"/>
        </w:rPr>
        <w:t>Corporation</w:t>
      </w:r>
      <w:proofErr w:type="spellEnd"/>
      <w:r w:rsidRPr="00593FA1">
        <w:rPr>
          <w:rFonts w:eastAsia="Times New Roman" w:cs="Arial"/>
          <w:sz w:val="20"/>
          <w:szCs w:val="20"/>
          <w:lang w:eastAsia="cs-CZ"/>
        </w:rPr>
        <w:t xml:space="preserve">, </w:t>
      </w:r>
      <w:proofErr w:type="spellStart"/>
      <w:r w:rsidRPr="00593FA1">
        <w:rPr>
          <w:rFonts w:eastAsia="Times New Roman" w:cs="Arial"/>
          <w:sz w:val="20"/>
          <w:szCs w:val="20"/>
          <w:lang w:eastAsia="cs-CZ"/>
        </w:rPr>
        <w:t>Šen</w:t>
      </w:r>
      <w:proofErr w:type="spellEnd"/>
      <w:r w:rsidRPr="00593FA1">
        <w:rPr>
          <w:rFonts w:eastAsia="Times New Roman" w:cs="Arial"/>
          <w:sz w:val="20"/>
          <w:szCs w:val="20"/>
          <w:lang w:eastAsia="cs-CZ"/>
        </w:rPr>
        <w:t xml:space="preserve">-Čen, Čínská lidová republika), vůči kterým bylo vydáno varování Národního Úřadu pro Kybernetickou a Informační Bezpečnost dne 17. 12. 2018. </w:t>
      </w:r>
    </w:p>
    <w:p w14:paraId="02202EF9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7B6A687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na základě jím provedené analýzy rizik a plnění svých povinností vyplývajících ze ZKB a vyhlášky č. 82/2018 Sb., o bezpečnostních opatřeních, kybernetických bezpečnostních incidentech, reaktivních opatřeních, náležitostech podání v oblasti kybernetické bezpečnosti a likvidaci dat (vyhláška o kybernetické bezpečnosti) ve smyslu § 37 odst. 1 písmeno b) a § 89 ZZVZ, požaduje aby dodavatelé nenabízeli předmět plnění výrobců s významným vztahem k Ruské federaci, vůči kterým bylo vydáno varování Národního úřadu pro kybernetickou a informační bezpečnost dne 21.3.2022, číslo jednací 3381/2022-NÚKIB-E/350. Dodavatel, který nabídne předmět plnění výše uvedených výrobců, bude ze zadávacího řízení vyloučen.</w:t>
      </w:r>
    </w:p>
    <w:p w14:paraId="251F58FF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EA5F1D9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Dodavatel se zavazuje nabídnout zadavateli předmět plnění, který je v souladu s právními předpisy a normami ČR a EU, zejména se zákonem č. 181/2014 Sb., o kybernetické bezpečnosti, ve znění pozdějších předpisů.</w:t>
      </w:r>
    </w:p>
    <w:p w14:paraId="38685BAF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69218D3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Ve smyslu ZZVZ zadavatel vycházel při přípravě tohoto zadávacího řízení, kromě jiného, i z obecných principů zaměřených na sociálně a environmentálně odpovědné zadávaní a inovace. </w:t>
      </w:r>
    </w:p>
    <w:p w14:paraId="7DCF1EBB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 oblasti sociálně odpovědného zadávání zadavatel požaduje, a to vzhledem k povaze a smyslu veřejné zakázky, aby dodavatel zajistil po celou dobu plnění veřejné zakázky:</w:t>
      </w:r>
    </w:p>
    <w:p w14:paraId="0DDAE219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21209DCB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7B523DDF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V oblasti environmentálně odpovědného zadávání zadavatel požaduje, a to vzhledem k povaze a smyslu veřejné zakázky, aby dodavatel v rámci svých možností zvolil ekologicky šetrná řešení při plnění veřejné zakázky, která budou vést k eliminaci dopadů na životní prostředí, např.: </w:t>
      </w:r>
    </w:p>
    <w:p w14:paraId="1D1C9F02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snížením spotřeby elektrické energie,</w:t>
      </w:r>
    </w:p>
    <w:p w14:paraId="6E0CC11A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zohledněním životního cyklu; v rámci toho zadavatel požaduje po dodavateli zajištění náhradních dílu po dobu životnosti předmětu plnění,</w:t>
      </w:r>
    </w:p>
    <w:p w14:paraId="7A58F72E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používáním a dodáváním zařízení bez škodlivých látek.</w:t>
      </w:r>
    </w:p>
    <w:p w14:paraId="420F9FEA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Při zadávání této veřejné zakázky zadavatel rovněž posoudil a zohlednil možnosti použití inovací a dospěl k závěru, že v případě této veřejné zakázky je dodávka předmětu veřejné zakázky specifikována s ohledem na zcela konkrétní potřeby zadavatele a zadavateli není známo žádné inovativní řešení, které by bylo možné v rámci zadávacích podmínek uplatnit.  </w:t>
      </w:r>
    </w:p>
    <w:p w14:paraId="6C76A5C1" w14:textId="77777777" w:rsidR="00593FA1" w:rsidRP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EC1BD79" w14:textId="77451705" w:rsidR="00593FA1" w:rsidRDefault="00593FA1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Veškeré dodávky, zařízení, vybavení a instalace nabízené dodavatelem musí splňovat platné české a evropské normy a právní předpisy.</w:t>
      </w:r>
    </w:p>
    <w:p w14:paraId="3091256F" w14:textId="4E3A0AAA" w:rsidR="006536A4" w:rsidRDefault="006536A4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3B7F17A" w14:textId="245A5470" w:rsidR="006536A4" w:rsidRDefault="006536A4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8661A50" w14:textId="39F36330" w:rsidR="006536A4" w:rsidRDefault="006536A4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930F2C4" w14:textId="17B9E52B" w:rsidR="006536A4" w:rsidRDefault="006536A4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1995605" w14:textId="58BE21E3" w:rsidR="006536A4" w:rsidRDefault="006536A4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126E7BF" w14:textId="77777777" w:rsidR="006536A4" w:rsidRPr="00593FA1" w:rsidRDefault="006536A4" w:rsidP="00593FA1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98E9537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4" w:name="_Toc365531848"/>
      <w:bookmarkStart w:id="5" w:name="_Toc371919916"/>
    </w:p>
    <w:p w14:paraId="2EA2595A" w14:textId="77777777" w:rsidR="006536A4" w:rsidRDefault="006536A4" w:rsidP="00593FA1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3AC08E2B" w14:textId="77777777" w:rsidR="006536A4" w:rsidRDefault="006536A4" w:rsidP="00593FA1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A7BFB37" w14:textId="77777777" w:rsidR="006536A4" w:rsidRDefault="006536A4" w:rsidP="00593FA1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3DFF12AE" w14:textId="081AE2D0" w:rsidR="00593FA1" w:rsidRPr="00593FA1" w:rsidRDefault="00593FA1" w:rsidP="00593FA1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93FA1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Klasifikace předmětu veřejné zakázky</w:t>
      </w:r>
    </w:p>
    <w:p w14:paraId="7D7C83C9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9"/>
        <w:gridCol w:w="4721"/>
      </w:tblGrid>
      <w:tr w:rsidR="00593FA1" w:rsidRPr="00593FA1" w14:paraId="7301F952" w14:textId="77777777" w:rsidTr="006536A4">
        <w:trPr>
          <w:trHeight w:val="828"/>
        </w:trPr>
        <w:tc>
          <w:tcPr>
            <w:tcW w:w="5769" w:type="dxa"/>
            <w:shd w:val="clear" w:color="auto" w:fill="99CCFF"/>
            <w:noWrap/>
            <w:vAlign w:val="center"/>
            <w:hideMark/>
          </w:tcPr>
          <w:p w14:paraId="2CD8A969" w14:textId="77777777" w:rsidR="00593FA1" w:rsidRPr="00593FA1" w:rsidRDefault="00593FA1" w:rsidP="00593F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3F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</w:p>
        </w:tc>
        <w:tc>
          <w:tcPr>
            <w:tcW w:w="4721" w:type="dxa"/>
            <w:shd w:val="clear" w:color="auto" w:fill="99CCFF"/>
            <w:vAlign w:val="center"/>
            <w:hideMark/>
          </w:tcPr>
          <w:p w14:paraId="0EE7F07F" w14:textId="77777777" w:rsidR="00593FA1" w:rsidRPr="00593FA1" w:rsidRDefault="00593FA1" w:rsidP="00593FA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93F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 kód</w:t>
            </w:r>
          </w:p>
        </w:tc>
      </w:tr>
      <w:tr w:rsidR="00593FA1" w:rsidRPr="00593FA1" w14:paraId="7F40B2A4" w14:textId="77777777" w:rsidTr="00BA76B4">
        <w:trPr>
          <w:trHeight w:val="401"/>
        </w:trPr>
        <w:tc>
          <w:tcPr>
            <w:tcW w:w="5769" w:type="dxa"/>
            <w:shd w:val="clear" w:color="auto" w:fill="auto"/>
            <w:vAlign w:val="center"/>
            <w:hideMark/>
          </w:tcPr>
          <w:p w14:paraId="2DC6C00B" w14:textId="77777777" w:rsidR="00593FA1" w:rsidRPr="00593FA1" w:rsidRDefault="00593FA1" w:rsidP="00593FA1">
            <w:pPr>
              <w:keepNext/>
              <w:spacing w:before="240" w:after="240" w:line="240" w:lineRule="auto"/>
              <w:jc w:val="both"/>
              <w:outlineLvl w:val="1"/>
              <w:rPr>
                <w:rFonts w:eastAsia="Times New Roman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593FA1">
              <w:rPr>
                <w:rFonts w:eastAsia="Times New Roman" w:cs="Arial"/>
                <w:b/>
                <w:bCs/>
                <w:iCs/>
                <w:sz w:val="20"/>
                <w:szCs w:val="20"/>
                <w:lang w:eastAsia="cs-CZ"/>
              </w:rPr>
              <w:t>Operační technika</w:t>
            </w:r>
          </w:p>
        </w:tc>
        <w:tc>
          <w:tcPr>
            <w:tcW w:w="4721" w:type="dxa"/>
            <w:shd w:val="clear" w:color="auto" w:fill="auto"/>
            <w:noWrap/>
            <w:vAlign w:val="center"/>
            <w:hideMark/>
          </w:tcPr>
          <w:p w14:paraId="3CC22636" w14:textId="77777777" w:rsidR="00593FA1" w:rsidRPr="00593FA1" w:rsidRDefault="00593FA1" w:rsidP="00593FA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593FA1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33160000-9</w:t>
            </w:r>
          </w:p>
        </w:tc>
      </w:tr>
      <w:tr w:rsidR="00593FA1" w:rsidRPr="00593FA1" w14:paraId="7D7CAE28" w14:textId="77777777" w:rsidTr="00BA76B4">
        <w:trPr>
          <w:trHeight w:val="454"/>
        </w:trPr>
        <w:tc>
          <w:tcPr>
            <w:tcW w:w="5769" w:type="dxa"/>
            <w:shd w:val="clear" w:color="auto" w:fill="auto"/>
            <w:vAlign w:val="center"/>
          </w:tcPr>
          <w:p w14:paraId="7012334A" w14:textId="77777777" w:rsidR="00593FA1" w:rsidRPr="00593FA1" w:rsidRDefault="00593FA1" w:rsidP="00593FA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3FA1">
              <w:rPr>
                <w:rFonts w:eastAsia="Times New Roman" w:cs="Arial"/>
                <w:sz w:val="20"/>
                <w:szCs w:val="20"/>
                <w:lang w:eastAsia="cs-CZ"/>
              </w:rPr>
              <w:t>Opravy a údržba zdravotnických přístrojů</w:t>
            </w:r>
          </w:p>
        </w:tc>
        <w:tc>
          <w:tcPr>
            <w:tcW w:w="4721" w:type="dxa"/>
            <w:shd w:val="clear" w:color="auto" w:fill="auto"/>
            <w:noWrap/>
            <w:vAlign w:val="center"/>
          </w:tcPr>
          <w:p w14:paraId="05468583" w14:textId="77777777" w:rsidR="00593FA1" w:rsidRPr="00593FA1" w:rsidRDefault="00593FA1" w:rsidP="00593FA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593FA1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50421000-2</w:t>
            </w:r>
          </w:p>
        </w:tc>
      </w:tr>
    </w:tbl>
    <w:p w14:paraId="33321DE2" w14:textId="77777777" w:rsidR="00593FA1" w:rsidRPr="00593FA1" w:rsidRDefault="00593FA1" w:rsidP="00593FA1">
      <w:pPr>
        <w:keepNext/>
        <w:keepLines/>
        <w:numPr>
          <w:ilvl w:val="0"/>
          <w:numId w:val="7"/>
        </w:numPr>
        <w:spacing w:before="240" w:line="240" w:lineRule="auto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593FA1">
        <w:rPr>
          <w:rFonts w:eastAsia="Times New Roman" w:cs="Arial"/>
          <w:b/>
          <w:sz w:val="20"/>
          <w:szCs w:val="20"/>
          <w:lang w:eastAsia="cs-CZ"/>
        </w:rPr>
        <w:t>Doba plnění veřejné zakázky</w:t>
      </w:r>
      <w:bookmarkEnd w:id="4"/>
      <w:bookmarkEnd w:id="5"/>
    </w:p>
    <w:p w14:paraId="24B12991" w14:textId="77777777" w:rsidR="00593FA1" w:rsidRPr="00593FA1" w:rsidRDefault="00593FA1" w:rsidP="00593FA1">
      <w:pPr>
        <w:keepNext/>
        <w:keepLines/>
        <w:spacing w:before="240" w:line="240" w:lineRule="auto"/>
        <w:outlineLvl w:val="0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Vybraný dodavatel je povinen předat předmět plnění do 10 týdnů ode dne účinnosti kupní smlouvy (obligatorní návrh </w:t>
      </w:r>
      <w:proofErr w:type="gramStart"/>
      <w:r w:rsidRPr="00593FA1">
        <w:rPr>
          <w:rFonts w:eastAsia="Times New Roman" w:cs="Arial"/>
          <w:sz w:val="20"/>
          <w:szCs w:val="20"/>
          <w:lang w:eastAsia="cs-CZ"/>
        </w:rPr>
        <w:t>smlouvy - příloha</w:t>
      </w:r>
      <w:proofErr w:type="gramEnd"/>
      <w:r w:rsidRPr="00593FA1">
        <w:rPr>
          <w:rFonts w:eastAsia="Times New Roman" w:cs="Arial"/>
          <w:sz w:val="20"/>
          <w:szCs w:val="20"/>
          <w:lang w:eastAsia="cs-CZ"/>
        </w:rPr>
        <w:t xml:space="preserve"> č. 4 této zadávací dokumentace). </w:t>
      </w:r>
    </w:p>
    <w:p w14:paraId="3B945793" w14:textId="36A1A81E" w:rsidR="00593FA1" w:rsidRPr="00593FA1" w:rsidRDefault="00593FA1" w:rsidP="006536A4">
      <w:pPr>
        <w:keepNext/>
        <w:keepLines/>
        <w:spacing w:before="240" w:line="240" w:lineRule="auto"/>
        <w:ind w:left="567" w:hanging="567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6536A4">
        <w:rPr>
          <w:rFonts w:eastAsia="Times New Roman" w:cs="Arial"/>
          <w:b/>
          <w:bCs/>
          <w:sz w:val="20"/>
          <w:szCs w:val="20"/>
          <w:lang w:eastAsia="cs-CZ"/>
        </w:rPr>
        <w:t xml:space="preserve">       </w:t>
      </w:r>
      <w:r w:rsidR="006536A4" w:rsidRPr="006536A4">
        <w:rPr>
          <w:rFonts w:eastAsia="Times New Roman" w:cs="Arial"/>
          <w:b/>
          <w:bCs/>
          <w:sz w:val="20"/>
          <w:szCs w:val="20"/>
          <w:lang w:eastAsia="cs-CZ"/>
        </w:rPr>
        <w:t>3</w:t>
      </w:r>
      <w:r w:rsidR="006536A4">
        <w:rPr>
          <w:rFonts w:eastAsia="Times New Roman" w:cs="Arial"/>
          <w:sz w:val="20"/>
          <w:szCs w:val="20"/>
          <w:lang w:eastAsia="cs-CZ"/>
        </w:rPr>
        <w:t xml:space="preserve">  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</w:t>
      </w:r>
      <w:r w:rsidR="006536A4">
        <w:rPr>
          <w:rFonts w:eastAsia="Times New Roman" w:cs="Arial"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b/>
          <w:sz w:val="20"/>
          <w:szCs w:val="20"/>
          <w:lang w:eastAsia="cs-CZ"/>
        </w:rPr>
        <w:t>Místo plnění veřejné zakázky</w:t>
      </w:r>
    </w:p>
    <w:p w14:paraId="44F06936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601090B" w14:textId="77777777" w:rsidR="00593FA1" w:rsidRPr="00593FA1" w:rsidRDefault="00593FA1" w:rsidP="00593FA1">
      <w:pPr>
        <w:widowControl w:val="0"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6" w:name="_Toc365531849"/>
      <w:r w:rsidRPr="00593FA1">
        <w:rPr>
          <w:rFonts w:eastAsia="Times New Roman" w:cs="Arial"/>
          <w:sz w:val="20"/>
          <w:szCs w:val="20"/>
          <w:lang w:eastAsia="cs-CZ"/>
        </w:rPr>
        <w:t xml:space="preserve">Krajská zdravotní, a.s. – Masarykova nemocnice v Ústí nad Labem, </w:t>
      </w:r>
      <w:proofErr w:type="spellStart"/>
      <w:r w:rsidRPr="00593FA1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Pr="00593FA1">
        <w:rPr>
          <w:rFonts w:eastAsia="Times New Roman" w:cs="Arial"/>
          <w:sz w:val="20"/>
          <w:szCs w:val="20"/>
          <w:lang w:eastAsia="cs-CZ"/>
        </w:rPr>
        <w:t>.</w:t>
      </w:r>
    </w:p>
    <w:p w14:paraId="00C4CF54" w14:textId="77777777" w:rsidR="00593FA1" w:rsidRPr="00593FA1" w:rsidRDefault="00593FA1" w:rsidP="00593FA1">
      <w:pPr>
        <w:widowControl w:val="0"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Oddělení centrálních operačních sálů a centrální sterilizace</w:t>
      </w:r>
    </w:p>
    <w:p w14:paraId="19528550" w14:textId="77777777" w:rsidR="00593FA1" w:rsidRPr="00593FA1" w:rsidRDefault="00593FA1" w:rsidP="00593FA1">
      <w:pPr>
        <w:widowControl w:val="0"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Sociální péče 3316/12 a, </w:t>
      </w:r>
    </w:p>
    <w:p w14:paraId="0DD0FF98" w14:textId="77777777" w:rsidR="00593FA1" w:rsidRPr="00593FA1" w:rsidRDefault="00593FA1" w:rsidP="00593FA1">
      <w:pPr>
        <w:widowControl w:val="0"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25EA2BAC" w14:textId="17D3E26A" w:rsidR="00593FA1" w:rsidRPr="00593FA1" w:rsidRDefault="006536A4" w:rsidP="00593FA1">
      <w:pPr>
        <w:keepNext/>
        <w:keepLines/>
        <w:spacing w:before="240" w:line="240" w:lineRule="auto"/>
        <w:outlineLvl w:val="0"/>
        <w:rPr>
          <w:rFonts w:eastAsia="Times New Roman" w:cs="Arial"/>
          <w:b/>
          <w:sz w:val="20"/>
          <w:szCs w:val="20"/>
          <w:lang w:eastAsia="cs-CZ"/>
        </w:rPr>
      </w:pPr>
      <w:r>
        <w:rPr>
          <w:rFonts w:eastAsia="Times New Roman" w:cs="Arial"/>
          <w:b/>
          <w:sz w:val="20"/>
          <w:szCs w:val="20"/>
          <w:lang w:eastAsia="cs-CZ"/>
        </w:rPr>
        <w:t xml:space="preserve">      </w:t>
      </w:r>
      <w:r w:rsidR="00593FA1" w:rsidRPr="00593FA1">
        <w:rPr>
          <w:rFonts w:eastAsia="Times New Roman" w:cs="Arial"/>
          <w:b/>
          <w:sz w:val="20"/>
          <w:szCs w:val="20"/>
          <w:lang w:eastAsia="cs-CZ"/>
        </w:rPr>
        <w:t>4      Požadavky na prokázání kvalifikace</w:t>
      </w:r>
      <w:bookmarkEnd w:id="6"/>
    </w:p>
    <w:p w14:paraId="239A1F38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AAC6C3D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požaduje, aby dodavatel prokázal kvalifikaci v dále uvedeném rozsahu.</w:t>
      </w:r>
    </w:p>
    <w:p w14:paraId="73C14DE4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9D6115F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Neprokáže-li účastník kvalifikaci v plném rozsahu, může být dle § 48 odst. 2 ZZVZ vyloučen z účasti v zadávacím řízení. </w:t>
      </w:r>
    </w:p>
    <w:p w14:paraId="046558EF" w14:textId="77777777" w:rsidR="00593FA1" w:rsidRPr="00593FA1" w:rsidRDefault="00593FA1" w:rsidP="00593FA1">
      <w:pPr>
        <w:keepNext/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593FA1">
        <w:rPr>
          <w:rFonts w:eastAsia="Times New Roman" w:cs="Arial"/>
          <w:b/>
          <w:bCs/>
          <w:iCs/>
          <w:sz w:val="20"/>
          <w:szCs w:val="20"/>
          <w:lang w:eastAsia="cs-CZ"/>
        </w:rPr>
        <w:t>Základní způsobilost dle § 74 ZZVZ</w:t>
      </w:r>
    </w:p>
    <w:p w14:paraId="3F11801F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Dodavatel prokáže základní způsobilost dle § 74 ZZVZ předložením dokladů uvedených v </w:t>
      </w:r>
      <w:r w:rsidRPr="00593FA1">
        <w:rPr>
          <w:rFonts w:eastAsia="Times New Roman" w:cs="Arial"/>
          <w:sz w:val="20"/>
          <w:szCs w:val="20"/>
          <w:lang w:eastAsia="cs-CZ"/>
        </w:rPr>
        <w:br/>
        <w:t>§ 75 ZZVZ, nebo jiným způsobem v souladu se ZZVZ. Pokud bude dodavatel prokazovat základní způsobilost čestným prohlášením, může použít vzor čestného prohlášení, který je přílohou č. 3 této zadávací dokumentace.</w:t>
      </w:r>
    </w:p>
    <w:p w14:paraId="1D6D010D" w14:textId="77777777" w:rsidR="00593FA1" w:rsidRPr="00593FA1" w:rsidRDefault="00593FA1" w:rsidP="00593FA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9CE16C0" w14:textId="77777777" w:rsidR="00593FA1" w:rsidRPr="00593FA1" w:rsidRDefault="00593FA1" w:rsidP="00593FA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Pravost a stáří dokladů se řídí § 45 a § 86 ZZVZ.</w:t>
      </w:r>
    </w:p>
    <w:p w14:paraId="724BCB71" w14:textId="77777777" w:rsidR="00593FA1" w:rsidRPr="00593FA1" w:rsidRDefault="00593FA1" w:rsidP="00593FA1">
      <w:pPr>
        <w:keepNext/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593FA1">
        <w:rPr>
          <w:rFonts w:eastAsia="Times New Roman" w:cs="Arial"/>
          <w:b/>
          <w:bCs/>
          <w:iCs/>
          <w:sz w:val="20"/>
          <w:szCs w:val="20"/>
          <w:lang w:eastAsia="cs-CZ"/>
        </w:rPr>
        <w:t>Profesní způsobilost dle § 77 ZZVZ</w:t>
      </w:r>
    </w:p>
    <w:p w14:paraId="60C8AC74" w14:textId="77777777" w:rsidR="00593FA1" w:rsidRPr="00593FA1" w:rsidRDefault="00593FA1" w:rsidP="00593FA1">
      <w:pPr>
        <w:keepNext/>
        <w:spacing w:line="240" w:lineRule="auto"/>
        <w:jc w:val="both"/>
        <w:outlineLvl w:val="1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Dodavatel prokáže profesní způsobilost dle § 77 odst. 1 ZZVZ předložením</w:t>
      </w:r>
      <w:bookmarkStart w:id="7" w:name="bookmark=id.3znysh7"/>
      <w:bookmarkEnd w:id="7"/>
      <w:r w:rsidRPr="00593FA1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zadávací dokumentace</w:t>
      </w:r>
    </w:p>
    <w:p w14:paraId="0D8CC878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CF34D67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Pravost dokladů se řídí § 45 ZZVZ.</w:t>
      </w:r>
    </w:p>
    <w:p w14:paraId="4CED4FE5" w14:textId="77777777" w:rsidR="00593FA1" w:rsidRPr="00593FA1" w:rsidRDefault="00593FA1" w:rsidP="00593FA1">
      <w:pPr>
        <w:keepNext/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593FA1">
        <w:rPr>
          <w:rFonts w:eastAsia="Times New Roman" w:cs="Arial"/>
          <w:b/>
          <w:bCs/>
          <w:iCs/>
          <w:sz w:val="20"/>
          <w:szCs w:val="20"/>
          <w:lang w:eastAsia="cs-CZ"/>
        </w:rPr>
        <w:lastRenderedPageBreak/>
        <w:t>Technická kvalifikace dle § 79 ZZVZ</w:t>
      </w:r>
    </w:p>
    <w:p w14:paraId="471ED830" w14:textId="2D1C9E60" w:rsidR="00593FA1" w:rsidRPr="00593FA1" w:rsidRDefault="00593FA1" w:rsidP="00593FA1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Dodavatel prokáže technickou kvalifikaci dle § 79 odst. 2 písm. b) ZZVZ předložením </w:t>
      </w:r>
      <w:bookmarkStart w:id="8" w:name="p56-1-a"/>
      <w:bookmarkEnd w:id="8"/>
      <w:r w:rsidRPr="00593FA1">
        <w:rPr>
          <w:rFonts w:eastAsia="Times New Roman" w:cs="Arial"/>
          <w:sz w:val="20"/>
          <w:szCs w:val="20"/>
          <w:lang w:eastAsia="cs-CZ"/>
        </w:rPr>
        <w:t xml:space="preserve">seznamu </w:t>
      </w:r>
      <w:r w:rsidRPr="00867EE4">
        <w:rPr>
          <w:rFonts w:eastAsia="Times New Roman" w:cs="Arial"/>
          <w:b/>
          <w:sz w:val="20"/>
          <w:szCs w:val="20"/>
          <w:lang w:eastAsia="cs-CZ"/>
        </w:rPr>
        <w:t>minimálně dvou významných dodávek operačního mikroskopu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realizovaných v posledních </w:t>
      </w:r>
      <w:r w:rsidRPr="00593FA1">
        <w:rPr>
          <w:rFonts w:eastAsia="Times New Roman" w:cs="Arial"/>
          <w:b/>
          <w:sz w:val="20"/>
          <w:szCs w:val="20"/>
          <w:lang w:eastAsia="cs-CZ"/>
        </w:rPr>
        <w:t>třech letech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před zahájením zadávacího řízení, viz příloha č. 6 Seznam významných dodávek této zadávací dokumentace.  </w:t>
      </w:r>
      <w:r w:rsidRPr="00593FA1">
        <w:rPr>
          <w:rFonts w:eastAsia="Times New Roman" w:cs="Arial"/>
          <w:b/>
          <w:sz w:val="20"/>
          <w:szCs w:val="20"/>
          <w:lang w:eastAsia="cs-CZ"/>
        </w:rPr>
        <w:t xml:space="preserve"> </w:t>
      </w:r>
    </w:p>
    <w:p w14:paraId="055874AB" w14:textId="77777777" w:rsidR="00593FA1" w:rsidRPr="00593FA1" w:rsidRDefault="00593FA1" w:rsidP="00593FA1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Zadavatelem požadovaný minimální rozsah plnění za každou jednotlivou dodávku </w:t>
      </w:r>
      <w:r w:rsidRPr="00593FA1">
        <w:rPr>
          <w:rFonts w:eastAsia="Times New Roman" w:cs="Arial"/>
          <w:b/>
          <w:bCs/>
          <w:sz w:val="20"/>
          <w:szCs w:val="20"/>
          <w:lang w:eastAsia="cs-CZ"/>
        </w:rPr>
        <w:t>je 10 000 000 Kč bez DPH.</w:t>
      </w:r>
    </w:p>
    <w:p w14:paraId="2D8085AF" w14:textId="77777777" w:rsidR="00593FA1" w:rsidRPr="00593FA1" w:rsidRDefault="00593FA1" w:rsidP="00593FA1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69561F1" w14:textId="77777777" w:rsidR="00593FA1" w:rsidRPr="00593FA1" w:rsidRDefault="00593FA1" w:rsidP="00593FA1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Předložený seznam musí obsahovat minimálně následující údaje:</w:t>
      </w:r>
    </w:p>
    <w:p w14:paraId="1BDB2C73" w14:textId="77777777" w:rsidR="00593FA1" w:rsidRPr="00593FA1" w:rsidRDefault="00593FA1" w:rsidP="00593FA1">
      <w:pPr>
        <w:numPr>
          <w:ilvl w:val="0"/>
          <w:numId w:val="9"/>
        </w:numPr>
        <w:spacing w:before="60" w:after="6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identifikaci objednatele, tj. označení subjektu, pro který byla služba realizována;</w:t>
      </w:r>
    </w:p>
    <w:p w14:paraId="4244FFB5" w14:textId="77777777" w:rsidR="00593FA1" w:rsidRPr="00593FA1" w:rsidRDefault="00593FA1" w:rsidP="00593FA1">
      <w:pPr>
        <w:numPr>
          <w:ilvl w:val="0"/>
          <w:numId w:val="9"/>
        </w:numPr>
        <w:spacing w:before="60" w:after="6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stručný popis realizované služby s uvedením jejich rozsahu (finančně vyjádřeného v Kč);</w:t>
      </w:r>
    </w:p>
    <w:p w14:paraId="6C12AAFA" w14:textId="77777777" w:rsidR="00593FA1" w:rsidRPr="00593FA1" w:rsidRDefault="00593FA1" w:rsidP="00593FA1">
      <w:pPr>
        <w:numPr>
          <w:ilvl w:val="0"/>
          <w:numId w:val="9"/>
        </w:numPr>
        <w:spacing w:before="60" w:after="6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období, ve kterém byla služba realizována;</w:t>
      </w:r>
    </w:p>
    <w:p w14:paraId="23362C10" w14:textId="77777777" w:rsidR="00593FA1" w:rsidRPr="00593FA1" w:rsidRDefault="00593FA1" w:rsidP="00593FA1">
      <w:pPr>
        <w:numPr>
          <w:ilvl w:val="0"/>
          <w:numId w:val="9"/>
        </w:numPr>
        <w:spacing w:before="60" w:after="6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jméno a kontakt na osobu, která může uvedené údaje potvrdit.</w:t>
      </w:r>
    </w:p>
    <w:p w14:paraId="7045235F" w14:textId="67FAC72B" w:rsidR="00593FA1" w:rsidRPr="00593FA1" w:rsidRDefault="00593FA1" w:rsidP="00593FA1">
      <w:pPr>
        <w:spacing w:before="60" w:after="6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593FA1">
        <w:rPr>
          <w:rFonts w:eastAsia="Times New Roman" w:cs="Arial"/>
          <w:bCs/>
          <w:sz w:val="20"/>
          <w:szCs w:val="20"/>
          <w:lang w:eastAsia="cs-CZ"/>
        </w:rPr>
        <w:t xml:space="preserve">V souladu s § 79 odst. 3 ZZVZ může dodavatel pro účely prokázání splnění technické kvalifikace předložit i významné </w:t>
      </w:r>
      <w:r w:rsidR="00FA3695">
        <w:rPr>
          <w:rFonts w:eastAsia="Times New Roman" w:cs="Arial"/>
          <w:bCs/>
          <w:sz w:val="20"/>
          <w:szCs w:val="20"/>
          <w:lang w:eastAsia="cs-CZ"/>
        </w:rPr>
        <w:t>dodávky</w:t>
      </w:r>
      <w:r w:rsidR="00FA3695" w:rsidRPr="00593FA1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bCs/>
          <w:sz w:val="20"/>
          <w:szCs w:val="20"/>
          <w:lang w:eastAsia="cs-CZ"/>
        </w:rPr>
        <w:t>se stejným předmětem plnění, které realizoval v době po zahájení tohoto zadávacího řízení.</w:t>
      </w:r>
    </w:p>
    <w:p w14:paraId="276AF13E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CB5A992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593FA1">
        <w:rPr>
          <w:rFonts w:eastAsia="Times New Roman" w:cs="Arial"/>
          <w:b/>
          <w:sz w:val="20"/>
          <w:szCs w:val="20"/>
          <w:lang w:eastAsia="cs-CZ"/>
        </w:rPr>
        <w:t>Změny v kvalifikaci</w:t>
      </w:r>
    </w:p>
    <w:p w14:paraId="70371BE7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0D367345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Dojde-li v průběhu zadávacího řízení po předložení dokladů nebo prohlášení o kvalifikaci ke změně kvalifikace účastníka zadávacího řízení, je účastník zadávacího řízení povinen do 5 pracovních dnů tuto změnu zadavateli oznámit a do 10 pracovních dnů od oznámení této změny zadavateli předložit nové doklady nebo prohlášení ke kvalifikaci. Tuto povinnost účastník zadávacího řízení nemá, pokud je kvalifikace změněna takovým způsobem, že</w:t>
      </w:r>
    </w:p>
    <w:p w14:paraId="7CF0C566" w14:textId="77777777" w:rsidR="00593FA1" w:rsidRPr="00593FA1" w:rsidRDefault="00593FA1" w:rsidP="00593FA1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podmínky kvalifikace jsou nadále splněny,</w:t>
      </w:r>
    </w:p>
    <w:p w14:paraId="3BD1E81F" w14:textId="77777777" w:rsidR="00593FA1" w:rsidRPr="00593FA1" w:rsidRDefault="00593FA1" w:rsidP="00593FA1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nedošlo k ovlivnění kritérií pro snížení počtu účastníků zadávacího řízení nebo nabídek a </w:t>
      </w:r>
    </w:p>
    <w:p w14:paraId="7EC2AFB8" w14:textId="77777777" w:rsidR="00593FA1" w:rsidRPr="00593FA1" w:rsidRDefault="00593FA1" w:rsidP="00593FA1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nedošlo k ovlivnění kritérií hodnocení nabídek.  </w:t>
      </w:r>
    </w:p>
    <w:p w14:paraId="0DDC2A78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56048D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může vyloučit účastníka zadávacího řízení, pokud prokáže, že účastník zadávacího řízení nesplnil povinnost dle § 88 odst. 1 ZZVZ.</w:t>
      </w:r>
    </w:p>
    <w:p w14:paraId="48F96F96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43AA995" w14:textId="1F43F103" w:rsidR="00593FA1" w:rsidRPr="00593FA1" w:rsidRDefault="006536A4" w:rsidP="00593FA1">
      <w:pPr>
        <w:keepNext/>
        <w:keepLines/>
        <w:spacing w:before="240" w:line="240" w:lineRule="auto"/>
        <w:outlineLvl w:val="0"/>
        <w:rPr>
          <w:rFonts w:eastAsia="Times New Roman" w:cs="Arial"/>
          <w:b/>
          <w:sz w:val="20"/>
          <w:szCs w:val="20"/>
          <w:lang w:eastAsia="cs-CZ"/>
        </w:rPr>
      </w:pPr>
      <w:bookmarkStart w:id="9" w:name="_Toc365531850"/>
      <w:bookmarkStart w:id="10" w:name="_Toc371919918"/>
      <w:r>
        <w:rPr>
          <w:rFonts w:eastAsia="Times New Roman" w:cs="Arial"/>
          <w:b/>
          <w:sz w:val="20"/>
          <w:szCs w:val="20"/>
          <w:lang w:eastAsia="cs-CZ"/>
        </w:rPr>
        <w:t xml:space="preserve">         </w:t>
      </w:r>
      <w:r w:rsidR="00593FA1" w:rsidRPr="00593FA1">
        <w:rPr>
          <w:rFonts w:eastAsia="Times New Roman" w:cs="Arial"/>
          <w:b/>
          <w:sz w:val="20"/>
          <w:szCs w:val="20"/>
          <w:lang w:eastAsia="cs-CZ"/>
        </w:rPr>
        <w:t xml:space="preserve">5      Obchodní a platební podmínky </w:t>
      </w:r>
      <w:bookmarkEnd w:id="9"/>
      <w:bookmarkEnd w:id="10"/>
    </w:p>
    <w:p w14:paraId="798875AB" w14:textId="77777777" w:rsidR="00593FA1" w:rsidRPr="00593FA1" w:rsidRDefault="00593FA1" w:rsidP="00593F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171856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smlouvy (příloha č. 4 této zadávací dokumentace).</w:t>
      </w:r>
    </w:p>
    <w:p w14:paraId="280D4E6C" w14:textId="77777777" w:rsidR="00593FA1" w:rsidRPr="00593FA1" w:rsidRDefault="00593FA1" w:rsidP="00593FA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1863B0A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593FA1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do nabídky obligatorní návrh smlouvy. Obligatorní návrh smlouvy</w:t>
      </w:r>
      <w:r w:rsidRPr="00593FA1" w:rsidDel="00C764E8">
        <w:rPr>
          <w:rFonts w:eastAsia="Times New Roman" w:cs="Arial"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bude vyplněn až před uzavřením smlouvy s vybraným dodavatelem, kdy budou doplněny veškeré chybějící údaje (zejména identifikace dodavatele, nabídková cena, jméno kontaktní osoby apod.). </w:t>
      </w:r>
    </w:p>
    <w:p w14:paraId="3593A2C9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BD8BCAD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593FA1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(příloha č. 3 této zadávací dokumentace) o tom, že obligatorní návrh smlouvy</w:t>
      </w:r>
      <w:r w:rsidRPr="00593FA1" w:rsidDel="00C764E8">
        <w:rPr>
          <w:rFonts w:eastAsia="Times New Roman" w:cs="Arial"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sz w:val="20"/>
          <w:szCs w:val="20"/>
          <w:lang w:eastAsia="cs-CZ"/>
        </w:rPr>
        <w:t>plně a bezvýhradně akceptuje.</w:t>
      </w:r>
    </w:p>
    <w:p w14:paraId="44CB39E0" w14:textId="77777777" w:rsidR="00593FA1" w:rsidRPr="00593FA1" w:rsidRDefault="00593FA1" w:rsidP="00593FA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378181F" w14:textId="77777777" w:rsidR="00593FA1" w:rsidRPr="00593FA1" w:rsidRDefault="00593FA1" w:rsidP="00593FA1">
      <w:pPr>
        <w:keepNext/>
        <w:keepLines/>
        <w:numPr>
          <w:ilvl w:val="0"/>
          <w:numId w:val="10"/>
        </w:numPr>
        <w:spacing w:before="240" w:line="240" w:lineRule="auto"/>
        <w:outlineLvl w:val="0"/>
        <w:rPr>
          <w:rFonts w:eastAsia="Times New Roman" w:cs="Arial"/>
          <w:b/>
          <w:sz w:val="20"/>
          <w:szCs w:val="20"/>
          <w:lang w:eastAsia="cs-CZ"/>
        </w:rPr>
      </w:pPr>
      <w:bookmarkStart w:id="11" w:name="_Toc365531851"/>
      <w:bookmarkStart w:id="12" w:name="_Toc371919922"/>
      <w:r w:rsidRPr="00593FA1">
        <w:rPr>
          <w:rFonts w:eastAsia="Times New Roman" w:cs="Arial"/>
          <w:b/>
          <w:sz w:val="20"/>
          <w:szCs w:val="20"/>
          <w:lang w:eastAsia="cs-CZ"/>
        </w:rPr>
        <w:t>P</w:t>
      </w:r>
      <w:bookmarkEnd w:id="11"/>
      <w:bookmarkEnd w:id="12"/>
      <w:r w:rsidRPr="00593FA1">
        <w:rPr>
          <w:rFonts w:eastAsia="Times New Roman" w:cs="Arial"/>
          <w:b/>
          <w:sz w:val="20"/>
          <w:szCs w:val="20"/>
          <w:lang w:eastAsia="cs-CZ"/>
        </w:rPr>
        <w:t>odmínky pro jednotné zpracování nabídky</w:t>
      </w:r>
    </w:p>
    <w:p w14:paraId="71423D9E" w14:textId="77777777" w:rsidR="00593FA1" w:rsidRPr="00593FA1" w:rsidRDefault="00593FA1" w:rsidP="00593FA1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 w:cs="Arial"/>
          <w:sz w:val="20"/>
          <w:szCs w:val="20"/>
          <w:lang w:eastAsia="cs-CZ"/>
        </w:rPr>
      </w:pPr>
    </w:p>
    <w:p w14:paraId="1542C6DE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3DD3FEDA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8E4C09F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Nabídka bude zpracována v českém jazyce. Zadavatel připouští katalogy, prospekty a jiný podpůrný materiál technické povahy v anglickém jazyce.</w:t>
      </w:r>
    </w:p>
    <w:p w14:paraId="4ABE5BEB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3D91D24" w14:textId="14300F35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Nabídk</w:t>
      </w:r>
      <w:r w:rsidR="00FA3695">
        <w:rPr>
          <w:rFonts w:eastAsia="Times New Roman" w:cs="Arial"/>
          <w:sz w:val="20"/>
          <w:szCs w:val="20"/>
          <w:lang w:eastAsia="cs-CZ"/>
        </w:rPr>
        <w:t xml:space="preserve">u zadavatel doporučuje </w:t>
      </w:r>
      <w:r w:rsidRPr="00593FA1">
        <w:rPr>
          <w:rFonts w:eastAsia="Times New Roman" w:cs="Arial"/>
          <w:sz w:val="20"/>
          <w:szCs w:val="20"/>
          <w:lang w:eastAsia="cs-CZ"/>
        </w:rPr>
        <w:t>zpracov</w:t>
      </w:r>
      <w:r w:rsidR="00FA3695">
        <w:rPr>
          <w:rFonts w:eastAsia="Times New Roman" w:cs="Arial"/>
          <w:sz w:val="20"/>
          <w:szCs w:val="20"/>
          <w:lang w:eastAsia="cs-CZ"/>
        </w:rPr>
        <w:t xml:space="preserve">at </w:t>
      </w:r>
      <w:r w:rsidRPr="00593FA1">
        <w:rPr>
          <w:rFonts w:eastAsia="Times New Roman" w:cs="Arial"/>
          <w:sz w:val="20"/>
          <w:szCs w:val="20"/>
          <w:lang w:eastAsia="cs-CZ"/>
        </w:rPr>
        <w:t>v následující struktuře</w:t>
      </w:r>
      <w:r w:rsidR="002B6A69">
        <w:rPr>
          <w:rFonts w:eastAsia="Times New Roman" w:cs="Arial"/>
          <w:sz w:val="20"/>
          <w:szCs w:val="20"/>
          <w:lang w:eastAsia="cs-CZ"/>
        </w:rPr>
        <w:t xml:space="preserve"> (uvedené dokumenty musí být součástí nabídky)</w:t>
      </w:r>
      <w:r w:rsidRPr="00593FA1">
        <w:rPr>
          <w:rFonts w:eastAsia="Times New Roman" w:cs="Arial"/>
          <w:sz w:val="20"/>
          <w:szCs w:val="20"/>
          <w:lang w:eastAsia="cs-CZ"/>
        </w:rPr>
        <w:t>:</w:t>
      </w:r>
    </w:p>
    <w:p w14:paraId="3B3FAE98" w14:textId="77777777" w:rsidR="00593FA1" w:rsidRPr="00593FA1" w:rsidRDefault="00593FA1" w:rsidP="00593FA1">
      <w:pPr>
        <w:numPr>
          <w:ilvl w:val="2"/>
          <w:numId w:val="11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lastRenderedPageBreak/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 a celková nabídková cena.</w:t>
      </w:r>
    </w:p>
    <w:p w14:paraId="1519BFC2" w14:textId="77777777" w:rsidR="00593FA1" w:rsidRPr="00593FA1" w:rsidRDefault="00593FA1" w:rsidP="00593FA1">
      <w:pPr>
        <w:numPr>
          <w:ilvl w:val="2"/>
          <w:numId w:val="11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Čestné prohlášení o tom, že obligatorní návrh smlouvy dodavatel plně a bezvýhradně akceptuje.</w:t>
      </w:r>
    </w:p>
    <w:p w14:paraId="17DE3458" w14:textId="77777777" w:rsidR="00593FA1" w:rsidRPr="00593FA1" w:rsidRDefault="00593FA1" w:rsidP="00593FA1">
      <w:pPr>
        <w:numPr>
          <w:ilvl w:val="2"/>
          <w:numId w:val="11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Čestné prohlášení dodavatele k mezinárodním sankcím.</w:t>
      </w:r>
    </w:p>
    <w:p w14:paraId="428AD6A8" w14:textId="77777777" w:rsidR="00593FA1" w:rsidRPr="00593FA1" w:rsidRDefault="00593FA1" w:rsidP="00593FA1">
      <w:pPr>
        <w:numPr>
          <w:ilvl w:val="2"/>
          <w:numId w:val="11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6359B7D5" w14:textId="77777777" w:rsidR="00593FA1" w:rsidRPr="00593FA1" w:rsidRDefault="00593FA1" w:rsidP="00593FA1">
      <w:pPr>
        <w:numPr>
          <w:ilvl w:val="2"/>
          <w:numId w:val="11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03EE4731" w14:textId="77777777" w:rsidR="00593FA1" w:rsidRPr="00593FA1" w:rsidRDefault="00593FA1" w:rsidP="00593FA1">
      <w:pPr>
        <w:numPr>
          <w:ilvl w:val="2"/>
          <w:numId w:val="11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Doklady prokazující splnění technické kvalifikace.</w:t>
      </w:r>
    </w:p>
    <w:p w14:paraId="672DC9FC" w14:textId="77777777" w:rsidR="00593FA1" w:rsidRPr="00593FA1" w:rsidRDefault="00593FA1" w:rsidP="00593FA1">
      <w:pPr>
        <w:numPr>
          <w:ilvl w:val="2"/>
          <w:numId w:val="11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Specifikace nabízeného zboží dle požadavků zadavatele uvedené v příloze č. 2 této zadávací dokumentace</w:t>
      </w:r>
    </w:p>
    <w:p w14:paraId="62AAC8AC" w14:textId="77777777" w:rsidR="00593FA1" w:rsidRPr="00593FA1" w:rsidRDefault="00593FA1" w:rsidP="00593FA1">
      <w:pPr>
        <w:numPr>
          <w:ilvl w:val="2"/>
          <w:numId w:val="11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Rozklad nabídkové ceny (příloha č. 5 této zadávací dokumentace)</w:t>
      </w:r>
    </w:p>
    <w:p w14:paraId="4CE15F8D" w14:textId="77777777" w:rsidR="00593FA1" w:rsidRPr="00593FA1" w:rsidRDefault="00593FA1" w:rsidP="00593FA1">
      <w:pPr>
        <w:numPr>
          <w:ilvl w:val="2"/>
          <w:numId w:val="11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Ostatní doklady a dokumenty</w:t>
      </w:r>
    </w:p>
    <w:p w14:paraId="7D1B81BB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34CD726" w14:textId="77777777" w:rsidR="00593FA1" w:rsidRPr="00593FA1" w:rsidRDefault="00593FA1" w:rsidP="00593FA1">
      <w:pPr>
        <w:spacing w:before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593FA1">
        <w:rPr>
          <w:rFonts w:eastAsia="Times New Roman" w:cs="Arial"/>
          <w:b/>
          <w:sz w:val="20"/>
          <w:szCs w:val="20"/>
          <w:lang w:eastAsia="cs-CZ"/>
        </w:rPr>
        <w:t xml:space="preserve">Jednotný způsob zpracování nabídkové ceny </w:t>
      </w:r>
    </w:p>
    <w:p w14:paraId="55E69C27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B016BB9" w14:textId="77777777" w:rsidR="00593FA1" w:rsidRPr="00593FA1" w:rsidRDefault="00593FA1" w:rsidP="00593FA1">
      <w:pPr>
        <w:numPr>
          <w:ilvl w:val="1"/>
          <w:numId w:val="12"/>
        </w:num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508E4CBB" w14:textId="77777777" w:rsidR="00593FA1" w:rsidRPr="00593FA1" w:rsidRDefault="00593FA1" w:rsidP="00593FA1">
      <w:pPr>
        <w:numPr>
          <w:ilvl w:val="1"/>
          <w:numId w:val="12"/>
        </w:num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Nabídková cena bez DPH musí zahrnovat veškeré náklady dodavatele související s plněním této veřejné zakázky.</w:t>
      </w:r>
    </w:p>
    <w:p w14:paraId="7E22886F" w14:textId="77777777" w:rsidR="00593FA1" w:rsidRPr="00593FA1" w:rsidRDefault="00593FA1" w:rsidP="00593FA1">
      <w:pPr>
        <w:spacing w:line="240" w:lineRule="auto"/>
        <w:ind w:left="107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0DD8F6C0" w14:textId="77777777" w:rsidR="00593FA1" w:rsidRPr="00593FA1" w:rsidRDefault="00593FA1" w:rsidP="00593FA1">
      <w:pPr>
        <w:keepNext/>
        <w:keepLines/>
        <w:numPr>
          <w:ilvl w:val="0"/>
          <w:numId w:val="10"/>
        </w:numPr>
        <w:spacing w:before="240" w:line="240" w:lineRule="auto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593FA1">
        <w:rPr>
          <w:rFonts w:eastAsia="Times New Roman" w:cs="Arial"/>
          <w:b/>
          <w:sz w:val="20"/>
          <w:szCs w:val="20"/>
          <w:lang w:eastAsia="cs-CZ"/>
        </w:rPr>
        <w:t>Vysvětlení, změna, doplnění zadávací dokumentace</w:t>
      </w:r>
    </w:p>
    <w:p w14:paraId="577ED0EE" w14:textId="77777777" w:rsidR="00593FA1" w:rsidRPr="00593FA1" w:rsidRDefault="00593FA1" w:rsidP="00593FA1">
      <w:pPr>
        <w:spacing w:line="240" w:lineRule="auto"/>
        <w:jc w:val="both"/>
        <w:outlineLvl w:val="0"/>
        <w:rPr>
          <w:rFonts w:eastAsia="Times New Roman" w:cs="Arial"/>
          <w:bCs/>
          <w:spacing w:val="-3"/>
          <w:sz w:val="20"/>
          <w:szCs w:val="20"/>
          <w:lang w:eastAsia="cs-CZ"/>
        </w:rPr>
      </w:pPr>
    </w:p>
    <w:p w14:paraId="3722289B" w14:textId="77777777" w:rsidR="00593FA1" w:rsidRPr="00593FA1" w:rsidRDefault="00593FA1" w:rsidP="00593FA1">
      <w:pPr>
        <w:spacing w:line="240" w:lineRule="auto"/>
        <w:jc w:val="both"/>
        <w:outlineLvl w:val="0"/>
        <w:rPr>
          <w:rFonts w:eastAsia="Times New Roman" w:cs="Arial"/>
          <w:bCs/>
          <w:kern w:val="36"/>
          <w:sz w:val="20"/>
          <w:szCs w:val="20"/>
          <w:lang w:eastAsia="cs-CZ"/>
        </w:rPr>
      </w:pPr>
      <w:r w:rsidRPr="00593FA1">
        <w:rPr>
          <w:rFonts w:eastAsia="Times New Roman" w:cs="Arial"/>
          <w:bCs/>
          <w:spacing w:val="-3"/>
          <w:sz w:val="20"/>
          <w:szCs w:val="20"/>
          <w:lang w:eastAsia="cs-CZ"/>
        </w:rPr>
        <w:t>Vysvětlení zadávací dokumentace se řídí ustanovením § 98 ZZVZ</w:t>
      </w:r>
      <w:r w:rsidRPr="00593FA1">
        <w:rPr>
          <w:rFonts w:eastAsia="Times New Roman" w:cs="Arial"/>
          <w:bCs/>
          <w:kern w:val="36"/>
          <w:sz w:val="20"/>
          <w:szCs w:val="20"/>
          <w:lang w:eastAsia="cs-CZ"/>
        </w:rPr>
        <w:t>. Zadavatel vždy uveřejní vysvětlení zadávací dokumentace včetně přesného znění žádosti na profilu zadavatele.</w:t>
      </w:r>
    </w:p>
    <w:p w14:paraId="347C9C99" w14:textId="77777777" w:rsidR="00593FA1" w:rsidRPr="00593FA1" w:rsidRDefault="00593FA1" w:rsidP="00593FA1">
      <w:pPr>
        <w:spacing w:line="240" w:lineRule="auto"/>
        <w:jc w:val="both"/>
        <w:outlineLvl w:val="0"/>
        <w:rPr>
          <w:rFonts w:eastAsia="Times New Roman" w:cs="Arial"/>
          <w:bCs/>
          <w:kern w:val="36"/>
          <w:sz w:val="20"/>
          <w:szCs w:val="20"/>
          <w:lang w:eastAsia="cs-CZ"/>
        </w:rPr>
      </w:pPr>
    </w:p>
    <w:p w14:paraId="2B906EB4" w14:textId="77777777" w:rsidR="00593FA1" w:rsidRPr="00593FA1" w:rsidRDefault="00593FA1" w:rsidP="00593FA1">
      <w:pPr>
        <w:spacing w:line="240" w:lineRule="auto"/>
        <w:jc w:val="both"/>
        <w:outlineLvl w:val="0"/>
        <w:rPr>
          <w:rFonts w:eastAsia="Times New Roman" w:cs="Arial"/>
          <w:bCs/>
          <w:kern w:val="36"/>
          <w:sz w:val="20"/>
          <w:szCs w:val="20"/>
          <w:lang w:eastAsia="cs-CZ"/>
        </w:rPr>
      </w:pPr>
      <w:r w:rsidRPr="00593FA1">
        <w:rPr>
          <w:rFonts w:eastAsia="Times New Roman" w:cs="Arial"/>
          <w:bCs/>
          <w:kern w:val="36"/>
          <w:sz w:val="20"/>
          <w:szCs w:val="20"/>
          <w:lang w:eastAsia="cs-CZ"/>
        </w:rPr>
        <w:t>Změna nebo doplnění zadávací dokumentace se řídí ustanovením § 99 ZZVZ. Zadavatel vždy uveřejní informaci o změně nebo doplnění zadávací dokumentace na profilu zadavatele.</w:t>
      </w:r>
    </w:p>
    <w:p w14:paraId="5EF3B00D" w14:textId="77777777" w:rsidR="00593FA1" w:rsidRPr="00593FA1" w:rsidRDefault="00593FA1" w:rsidP="00593FA1">
      <w:pPr>
        <w:spacing w:line="240" w:lineRule="auto"/>
        <w:jc w:val="both"/>
        <w:outlineLvl w:val="0"/>
        <w:rPr>
          <w:rFonts w:eastAsia="Times New Roman" w:cs="Arial"/>
          <w:bCs/>
          <w:kern w:val="36"/>
          <w:sz w:val="20"/>
          <w:szCs w:val="20"/>
          <w:lang w:eastAsia="cs-CZ"/>
        </w:rPr>
      </w:pPr>
    </w:p>
    <w:p w14:paraId="45B5D98F" w14:textId="77777777" w:rsidR="00593FA1" w:rsidRPr="00593FA1" w:rsidRDefault="00593FA1" w:rsidP="00593FA1">
      <w:pPr>
        <w:keepNext/>
        <w:keepLines/>
        <w:numPr>
          <w:ilvl w:val="0"/>
          <w:numId w:val="10"/>
        </w:numPr>
        <w:spacing w:before="240" w:line="240" w:lineRule="auto"/>
        <w:outlineLvl w:val="0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  <w:bookmarkStart w:id="13" w:name="_Toc365531857"/>
      <w:bookmarkStart w:id="14" w:name="_Toc371919928"/>
      <w:r w:rsidRPr="00593FA1">
        <w:rPr>
          <w:rFonts w:eastAsia="Times New Roman" w:cs="Arial"/>
          <w:b/>
          <w:sz w:val="20"/>
          <w:szCs w:val="20"/>
          <w:lang w:eastAsia="cs-CZ"/>
        </w:rPr>
        <w:t>Podmínky pro podání nabídky</w:t>
      </w:r>
      <w:bookmarkEnd w:id="13"/>
      <w:bookmarkEnd w:id="14"/>
    </w:p>
    <w:p w14:paraId="6C681FEF" w14:textId="5E0027E6" w:rsidR="00593FA1" w:rsidRPr="00593FA1" w:rsidRDefault="00593FA1" w:rsidP="00593FA1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15" w:name="_Toc365531858"/>
      <w:bookmarkStart w:id="16" w:name="_Toc371919929"/>
      <w:r w:rsidRPr="00593FA1">
        <w:rPr>
          <w:rFonts w:eastAsia="Times New Roman" w:cs="Arial"/>
          <w:sz w:val="20"/>
          <w:szCs w:val="20"/>
          <w:lang w:eastAsia="cs-CZ"/>
        </w:rPr>
        <w:t xml:space="preserve">Dodavatel je povinen podat nabídku výhradně v elektronické podobě prostřednictvím elektronického nástroje E-ZAK </w:t>
      </w:r>
      <w:r w:rsidR="00C43D5E">
        <w:rPr>
          <w:rFonts w:eastAsia="Times New Roman" w:cs="Arial"/>
          <w:sz w:val="20"/>
          <w:szCs w:val="20"/>
          <w:lang w:eastAsia="cs-CZ"/>
        </w:rPr>
        <w:t xml:space="preserve">dostupného 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na adrese </w:t>
      </w:r>
      <w:hyperlink r:id="rId9" w:history="1">
        <w:r w:rsidRPr="00593FA1">
          <w:rPr>
            <w:rFonts w:eastAsia="Times New Roman" w:cs="Arial"/>
            <w:sz w:val="20"/>
            <w:szCs w:val="20"/>
            <w:lang w:eastAsia="cs-CZ"/>
          </w:rPr>
          <w:t>https://zakazky.kzcr.eu/</w:t>
        </w:r>
      </w:hyperlink>
      <w:r w:rsidRPr="00593FA1">
        <w:rPr>
          <w:rFonts w:eastAsia="Times New Roman" w:cs="Arial"/>
          <w:sz w:val="20"/>
          <w:szCs w:val="20"/>
          <w:lang w:eastAsia="cs-CZ"/>
        </w:rPr>
        <w:t>.</w:t>
      </w:r>
    </w:p>
    <w:p w14:paraId="719DFD9F" w14:textId="77777777" w:rsidR="00593FA1" w:rsidRPr="00593FA1" w:rsidRDefault="00593FA1" w:rsidP="00593FA1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0" w:history="1">
        <w:r w:rsidRPr="00593FA1">
          <w:rPr>
            <w:rFonts w:eastAsia="Times New Roman" w:cs="Arial"/>
            <w:sz w:val="20"/>
            <w:szCs w:val="20"/>
            <w:lang w:eastAsia="cs-CZ"/>
          </w:rPr>
          <w:t>https://zakazky.kzcr.eu/test_index.html</w:t>
        </w:r>
      </w:hyperlink>
      <w:r w:rsidRPr="00593FA1">
        <w:rPr>
          <w:rFonts w:eastAsia="Times New Roman" w:cs="Arial"/>
          <w:sz w:val="20"/>
          <w:szCs w:val="20"/>
          <w:lang w:eastAsia="cs-CZ"/>
        </w:rPr>
        <w:t>.</w:t>
      </w:r>
    </w:p>
    <w:p w14:paraId="5517A8E2" w14:textId="12C43182" w:rsidR="00593FA1" w:rsidRPr="00593FA1" w:rsidRDefault="00593FA1" w:rsidP="00593FA1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Při technických problémech s elektronickým podáním nabídky je kontakt na techn. podporu dodavatele systému: tel. +420 538 702</w:t>
      </w:r>
      <w:r w:rsidR="00C43D5E">
        <w:rPr>
          <w:rFonts w:eastAsia="Times New Roman" w:cs="Arial"/>
          <w:sz w:val="20"/>
          <w:szCs w:val="20"/>
          <w:lang w:eastAsia="cs-CZ"/>
        </w:rPr>
        <w:t> </w:t>
      </w:r>
      <w:r w:rsidRPr="00593FA1">
        <w:rPr>
          <w:rFonts w:eastAsia="Times New Roman" w:cs="Arial"/>
          <w:sz w:val="20"/>
          <w:szCs w:val="20"/>
          <w:lang w:eastAsia="cs-CZ"/>
        </w:rPr>
        <w:t>719</w:t>
      </w:r>
      <w:r w:rsidR="00C43D5E">
        <w:rPr>
          <w:rFonts w:eastAsia="Times New Roman" w:cs="Arial"/>
          <w:sz w:val="20"/>
          <w:szCs w:val="20"/>
          <w:lang w:eastAsia="cs-CZ"/>
        </w:rPr>
        <w:t>,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</w:t>
      </w:r>
      <w:hyperlink r:id="rId11" w:history="1">
        <w:r w:rsidRPr="00593FA1">
          <w:rPr>
            <w:rFonts w:eastAsia="Times New Roman" w:cs="Arial"/>
            <w:sz w:val="20"/>
            <w:szCs w:val="20"/>
            <w:lang w:eastAsia="cs-CZ"/>
          </w:rPr>
          <w:t>podpora@ezak.cz</w:t>
        </w:r>
      </w:hyperlink>
      <w:r w:rsidRPr="00593FA1">
        <w:rPr>
          <w:rFonts w:eastAsia="Times New Roman" w:cs="Arial"/>
          <w:sz w:val="20"/>
          <w:szCs w:val="20"/>
          <w:lang w:eastAsia="cs-CZ"/>
        </w:rPr>
        <w:t xml:space="preserve">  (pracovní dny 9.00 -17.00 hod.). </w:t>
      </w:r>
    </w:p>
    <w:p w14:paraId="07B6C424" w14:textId="77777777" w:rsidR="00593FA1" w:rsidRPr="00593FA1" w:rsidRDefault="00593FA1" w:rsidP="00593FA1">
      <w:pPr>
        <w:keepNext/>
        <w:spacing w:before="240" w:after="240" w:line="240" w:lineRule="auto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593FA1">
        <w:rPr>
          <w:rFonts w:eastAsia="Times New Roman" w:cs="Arial"/>
          <w:b/>
          <w:bCs/>
          <w:iCs/>
          <w:sz w:val="20"/>
          <w:szCs w:val="20"/>
          <w:lang w:eastAsia="cs-CZ"/>
        </w:rPr>
        <w:t>Lhůta k podání nabídky</w:t>
      </w:r>
    </w:p>
    <w:p w14:paraId="098F4AFC" w14:textId="77777777" w:rsidR="00593FA1" w:rsidRPr="00593FA1" w:rsidRDefault="00593FA1" w:rsidP="00593FA1">
      <w:pPr>
        <w:spacing w:before="240" w:line="240" w:lineRule="auto"/>
        <w:jc w:val="both"/>
        <w:rPr>
          <w:rFonts w:eastAsia="Times New Roman" w:cs="Arial"/>
          <w:sz w:val="20"/>
          <w:szCs w:val="20"/>
          <w:u w:val="single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Lhůta pro podání nabídek je uvedena na profilu zadavatele </w:t>
      </w:r>
      <w:hyperlink r:id="rId12" w:history="1">
        <w:r w:rsidRPr="00593FA1">
          <w:rPr>
            <w:rFonts w:eastAsia="Times New Roman" w:cs="Arial"/>
            <w:sz w:val="20"/>
            <w:szCs w:val="20"/>
            <w:u w:val="single"/>
            <w:lang w:eastAsia="cs-CZ"/>
          </w:rPr>
          <w:t>https://zakazky.kzcr.eu/</w:t>
        </w:r>
      </w:hyperlink>
      <w:r w:rsidRPr="00593FA1">
        <w:rPr>
          <w:rFonts w:eastAsia="Times New Roman" w:cs="Arial"/>
          <w:snapToGrid w:val="0"/>
          <w:sz w:val="20"/>
          <w:szCs w:val="20"/>
          <w:lang w:eastAsia="cs-CZ"/>
        </w:rPr>
        <w:t xml:space="preserve"> a </w:t>
      </w:r>
      <w:r w:rsidRPr="00593FA1">
        <w:rPr>
          <w:rFonts w:eastAsia="Times New Roman" w:cs="Arial"/>
          <w:sz w:val="20"/>
          <w:szCs w:val="20"/>
          <w:lang w:eastAsia="cs-CZ"/>
        </w:rPr>
        <w:t>v oznámení o zahájení zadávacího řízení ve Věstníku veřejných zakázek a Úředním věstníku Evropské unie.</w:t>
      </w:r>
    </w:p>
    <w:bookmarkEnd w:id="15"/>
    <w:bookmarkEnd w:id="16"/>
    <w:p w14:paraId="593C57F9" w14:textId="26181596" w:rsidR="00593FA1" w:rsidRDefault="00593FA1" w:rsidP="00593FA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500D531" w14:textId="77777777" w:rsidR="006536A4" w:rsidRPr="00593FA1" w:rsidRDefault="006536A4" w:rsidP="00593FA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B07CEA9" w14:textId="77777777" w:rsidR="00593FA1" w:rsidRPr="00593FA1" w:rsidRDefault="00593FA1" w:rsidP="00593FA1">
      <w:pPr>
        <w:keepNext/>
        <w:keepLines/>
        <w:numPr>
          <w:ilvl w:val="0"/>
          <w:numId w:val="10"/>
        </w:numPr>
        <w:spacing w:before="240" w:line="240" w:lineRule="auto"/>
        <w:outlineLvl w:val="0"/>
        <w:rPr>
          <w:rFonts w:eastAsia="Times New Roman" w:cs="Arial"/>
          <w:b/>
          <w:sz w:val="20"/>
          <w:szCs w:val="20"/>
          <w:lang w:eastAsia="cs-CZ"/>
        </w:rPr>
      </w:pPr>
      <w:bookmarkStart w:id="17" w:name="_Toc365531864"/>
      <w:bookmarkStart w:id="18" w:name="_Toc371919935"/>
      <w:r w:rsidRPr="00593FA1">
        <w:rPr>
          <w:rFonts w:eastAsia="Times New Roman" w:cs="Arial"/>
          <w:b/>
          <w:sz w:val="20"/>
          <w:szCs w:val="20"/>
          <w:lang w:eastAsia="cs-CZ"/>
        </w:rPr>
        <w:lastRenderedPageBreak/>
        <w:t>Způsob a kritérium hodnocení nabídek</w:t>
      </w:r>
      <w:bookmarkEnd w:id="17"/>
      <w:bookmarkEnd w:id="18"/>
    </w:p>
    <w:p w14:paraId="7590161D" w14:textId="77777777" w:rsidR="00593FA1" w:rsidRPr="00593FA1" w:rsidRDefault="00593FA1" w:rsidP="00593FA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974AA26" w14:textId="77777777" w:rsidR="00593FA1" w:rsidRPr="00593FA1" w:rsidRDefault="00593FA1" w:rsidP="006536A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19" w:name="_Toc251877295"/>
      <w:bookmarkStart w:id="20" w:name="_Toc417850002"/>
      <w:r w:rsidRPr="00593FA1">
        <w:rPr>
          <w:rFonts w:eastAsia="Times New Roman" w:cs="Arial"/>
          <w:sz w:val="20"/>
          <w:szCs w:val="20"/>
          <w:lang w:eastAsia="cs-CZ"/>
        </w:rPr>
        <w:t>V souladu s ustanovením § 114 odst. 1 zákona budou nabídky hodnoceny podle jejich ekonomické výhodnosti.</w:t>
      </w:r>
    </w:p>
    <w:p w14:paraId="7BB0446D" w14:textId="77777777" w:rsidR="00593FA1" w:rsidRPr="00593FA1" w:rsidRDefault="00593FA1" w:rsidP="006536A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B4B0FDE" w14:textId="77777777" w:rsidR="00C316A1" w:rsidRPr="0004331A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  <w:r w:rsidRPr="0004331A">
        <w:rPr>
          <w:rFonts w:cs="Arial"/>
          <w:sz w:val="20"/>
          <w:szCs w:val="20"/>
        </w:rPr>
        <w:t>V souladu s § 114 odst. 2 ZZVZ bude ekonomická výhodnost nabídek hodnocena podle níže uvedených kritérií:</w:t>
      </w:r>
    </w:p>
    <w:p w14:paraId="79AC7A1B" w14:textId="77777777" w:rsidR="00C316A1" w:rsidRPr="0004331A" w:rsidRDefault="00C316A1" w:rsidP="006536A4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cs="Arial"/>
          <w:sz w:val="20"/>
          <w:szCs w:val="20"/>
        </w:rPr>
      </w:pPr>
      <w:r w:rsidRPr="0004331A">
        <w:rPr>
          <w:rFonts w:cs="Arial"/>
          <w:sz w:val="20"/>
          <w:szCs w:val="20"/>
        </w:rPr>
        <w:t xml:space="preserve">nabídkové ceny bez DPH a </w:t>
      </w:r>
    </w:p>
    <w:p w14:paraId="68D5626E" w14:textId="77777777" w:rsidR="00C316A1" w:rsidRPr="0004331A" w:rsidRDefault="00C316A1" w:rsidP="006536A4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cs="Arial"/>
          <w:sz w:val="20"/>
          <w:szCs w:val="20"/>
        </w:rPr>
      </w:pPr>
      <w:r w:rsidRPr="0004331A">
        <w:rPr>
          <w:rFonts w:cs="Arial"/>
          <w:sz w:val="20"/>
          <w:szCs w:val="20"/>
        </w:rPr>
        <w:t>hodnocených</w:t>
      </w:r>
      <w:r>
        <w:rPr>
          <w:rFonts w:cs="Arial"/>
          <w:sz w:val="20"/>
          <w:szCs w:val="20"/>
        </w:rPr>
        <w:t xml:space="preserve"> technických</w:t>
      </w:r>
      <w:r w:rsidRPr="0004331A">
        <w:rPr>
          <w:rFonts w:cs="Arial"/>
          <w:sz w:val="20"/>
          <w:szCs w:val="20"/>
        </w:rPr>
        <w:t xml:space="preserve"> parametrů</w:t>
      </w:r>
      <w:r>
        <w:rPr>
          <w:rFonts w:cs="Arial"/>
          <w:sz w:val="20"/>
          <w:szCs w:val="20"/>
        </w:rPr>
        <w:t>.</w:t>
      </w:r>
    </w:p>
    <w:p w14:paraId="4740E7AC" w14:textId="56E84DD8" w:rsidR="00C316A1" w:rsidRDefault="00C316A1" w:rsidP="006536A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E4B9F9A" w14:textId="0C81C720" w:rsidR="00C316A1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  <w:r w:rsidRPr="00B72C90">
        <w:rPr>
          <w:rFonts w:cs="Arial"/>
          <w:sz w:val="20"/>
          <w:szCs w:val="20"/>
        </w:rPr>
        <w:t>Zadavatel uvedeným kritériím stanovil následující váhy:</w:t>
      </w:r>
    </w:p>
    <w:p w14:paraId="69C0D197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7466"/>
        <w:gridCol w:w="1358"/>
      </w:tblGrid>
      <w:tr w:rsidR="00C316A1" w14:paraId="066779E4" w14:textId="77777777" w:rsidTr="006536A4">
        <w:trPr>
          <w:trHeight w:val="45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6369A02" w14:textId="77777777" w:rsidR="00C316A1" w:rsidRDefault="00C316A1" w:rsidP="006536A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Kritérium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17BF0802" w14:textId="77777777" w:rsidR="00C316A1" w:rsidRDefault="00C316A1" w:rsidP="006536A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Hodnotící kritérium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6A300EE" w14:textId="77777777" w:rsidR="00C316A1" w:rsidRDefault="00C316A1" w:rsidP="006536A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Váha v %</w:t>
            </w:r>
          </w:p>
        </w:tc>
      </w:tr>
      <w:tr w:rsidR="00C316A1" w14:paraId="4FDD5C45" w14:textId="77777777" w:rsidTr="00D46C3B">
        <w:trPr>
          <w:trHeight w:val="45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C19F" w14:textId="77777777" w:rsidR="00C316A1" w:rsidRPr="00B72C90" w:rsidRDefault="00C316A1" w:rsidP="006536A4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B72C90">
              <w:rPr>
                <w:rFonts w:cs="Arial"/>
                <w:szCs w:val="18"/>
              </w:rPr>
              <w:t>E</w:t>
            </w:r>
            <w:r w:rsidRPr="00B72C90">
              <w:rPr>
                <w:rFonts w:cs="Arial"/>
                <w:szCs w:val="18"/>
                <w:vertAlign w:val="subscript"/>
              </w:rPr>
              <w:t>C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C788" w14:textId="77777777" w:rsidR="00C316A1" w:rsidRPr="00B72C90" w:rsidRDefault="00C316A1" w:rsidP="006536A4">
            <w:pPr>
              <w:spacing w:line="240" w:lineRule="auto"/>
              <w:rPr>
                <w:rFonts w:cs="Arial"/>
                <w:szCs w:val="18"/>
              </w:rPr>
            </w:pPr>
            <w:r w:rsidRPr="00B72C90">
              <w:rPr>
                <w:rFonts w:cs="Arial"/>
                <w:szCs w:val="18"/>
              </w:rPr>
              <w:t xml:space="preserve">Celková nabídková cena bez DPH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EC" w14:textId="77777777" w:rsidR="00C316A1" w:rsidRPr="00B72C90" w:rsidRDefault="00C316A1" w:rsidP="006536A4">
            <w:pPr>
              <w:spacing w:line="240" w:lineRule="auto"/>
              <w:jc w:val="center"/>
              <w:rPr>
                <w:rFonts w:cs="Arial"/>
                <w:color w:val="000000"/>
                <w:szCs w:val="18"/>
              </w:rPr>
            </w:pPr>
            <w:r w:rsidRPr="00B72C90">
              <w:rPr>
                <w:rFonts w:cs="Arial"/>
                <w:szCs w:val="18"/>
              </w:rPr>
              <w:t>60</w:t>
            </w:r>
          </w:p>
        </w:tc>
      </w:tr>
      <w:tr w:rsidR="00C316A1" w14:paraId="641FEAB1" w14:textId="77777777" w:rsidTr="00D46C3B">
        <w:trPr>
          <w:trHeight w:val="45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84B" w14:textId="77777777" w:rsidR="00C316A1" w:rsidRPr="00B72C90" w:rsidRDefault="00C316A1" w:rsidP="006536A4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B72C90">
              <w:rPr>
                <w:rFonts w:cs="Arial"/>
                <w:szCs w:val="18"/>
              </w:rPr>
              <w:t>E</w:t>
            </w:r>
            <w:r w:rsidRPr="00B72C90">
              <w:rPr>
                <w:rFonts w:cs="Arial"/>
                <w:szCs w:val="18"/>
                <w:vertAlign w:val="subscript"/>
              </w:rPr>
              <w:t>F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2E4C" w14:textId="77777777" w:rsidR="00C316A1" w:rsidRPr="00B72C90" w:rsidRDefault="00C316A1" w:rsidP="006536A4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</w:t>
            </w:r>
            <w:r w:rsidRPr="00B72C90">
              <w:rPr>
                <w:rFonts w:cs="Arial"/>
                <w:szCs w:val="18"/>
              </w:rPr>
              <w:t>echnické parametry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EE690" w14:textId="77777777" w:rsidR="00C316A1" w:rsidRPr="00B72C90" w:rsidRDefault="00C316A1" w:rsidP="006536A4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B72C90">
              <w:rPr>
                <w:rFonts w:cs="Arial"/>
                <w:szCs w:val="18"/>
              </w:rPr>
              <w:t>40</w:t>
            </w:r>
          </w:p>
        </w:tc>
      </w:tr>
    </w:tbl>
    <w:p w14:paraId="28FF2D6A" w14:textId="74E0D68F" w:rsidR="00C316A1" w:rsidRDefault="00C316A1" w:rsidP="006536A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DCD044E" w14:textId="77777777" w:rsidR="00C316A1" w:rsidRPr="00B72C90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  <w:r w:rsidRPr="00B72C90">
        <w:rPr>
          <w:rFonts w:cs="Arial"/>
          <w:sz w:val="20"/>
          <w:szCs w:val="20"/>
        </w:rPr>
        <w:t>Nabídková cena bez DPH představuje součet cen</w:t>
      </w:r>
      <w:r>
        <w:rPr>
          <w:rFonts w:cs="Arial"/>
          <w:sz w:val="20"/>
          <w:szCs w:val="20"/>
        </w:rPr>
        <w:t>y</w:t>
      </w:r>
      <w:r w:rsidRPr="00B72C90">
        <w:rPr>
          <w:rFonts w:cs="Arial"/>
          <w:sz w:val="20"/>
          <w:szCs w:val="20"/>
        </w:rPr>
        <w:t xml:space="preserve"> za </w:t>
      </w:r>
      <w:r>
        <w:rPr>
          <w:rFonts w:cs="Arial"/>
          <w:sz w:val="20"/>
          <w:szCs w:val="20"/>
        </w:rPr>
        <w:t xml:space="preserve">přístroj a ceny za pozáruční servis na dobu 96 měsíců, </w:t>
      </w:r>
      <w:r w:rsidRPr="00B72C90">
        <w:rPr>
          <w:rFonts w:cs="Arial"/>
          <w:sz w:val="20"/>
          <w:szCs w:val="20"/>
        </w:rPr>
        <w:t>a to absolutní částkou v české měně.</w:t>
      </w:r>
    </w:p>
    <w:p w14:paraId="0D2AC9A7" w14:textId="77777777" w:rsidR="00C316A1" w:rsidRDefault="00C316A1" w:rsidP="006536A4">
      <w:pPr>
        <w:spacing w:line="240" w:lineRule="auto"/>
        <w:jc w:val="both"/>
        <w:rPr>
          <w:rFonts w:cs="Arial"/>
          <w:sz w:val="20"/>
          <w:szCs w:val="20"/>
          <w:highlight w:val="yellow"/>
        </w:rPr>
      </w:pPr>
    </w:p>
    <w:p w14:paraId="3D86D0AD" w14:textId="7468678C" w:rsidR="00C316A1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  <w:r w:rsidRPr="006364AF">
        <w:rPr>
          <w:rFonts w:cs="Arial"/>
          <w:sz w:val="20"/>
          <w:szCs w:val="20"/>
        </w:rPr>
        <w:t xml:space="preserve">Pro posouzení hodnocených </w:t>
      </w:r>
      <w:r>
        <w:rPr>
          <w:rFonts w:cs="Arial"/>
          <w:sz w:val="20"/>
          <w:szCs w:val="20"/>
        </w:rPr>
        <w:t>kritérií/</w:t>
      </w:r>
      <w:r w:rsidRPr="006364AF">
        <w:rPr>
          <w:rFonts w:cs="Arial"/>
          <w:sz w:val="20"/>
          <w:szCs w:val="20"/>
        </w:rPr>
        <w:t>parametrů jsou stanoveny</w:t>
      </w:r>
      <w:r>
        <w:rPr>
          <w:rFonts w:cs="Arial"/>
          <w:sz w:val="20"/>
          <w:szCs w:val="20"/>
        </w:rPr>
        <w:t xml:space="preserve"> následující váhy:</w:t>
      </w:r>
    </w:p>
    <w:p w14:paraId="64595EDE" w14:textId="539951F9" w:rsidR="00C316A1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938"/>
        <w:gridCol w:w="1129"/>
      </w:tblGrid>
      <w:tr w:rsidR="00C316A1" w:rsidRPr="00CB7A5C" w14:paraId="3CD949C7" w14:textId="77777777" w:rsidTr="006536A4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7BBA5E8B" w14:textId="77777777" w:rsidR="00C316A1" w:rsidRPr="00CB7A5C" w:rsidRDefault="00C316A1" w:rsidP="006536A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B7A5C">
              <w:rPr>
                <w:rFonts w:cs="Arial"/>
                <w:b/>
                <w:bCs/>
                <w:color w:val="000000"/>
                <w:sz w:val="20"/>
                <w:szCs w:val="20"/>
              </w:rPr>
              <w:t>kritérium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7C9E51F" w14:textId="77777777" w:rsidR="00C316A1" w:rsidRPr="00CB7A5C" w:rsidRDefault="00C316A1" w:rsidP="006536A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B7A5C">
              <w:rPr>
                <w:rFonts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679C05" w14:textId="77777777" w:rsidR="00C316A1" w:rsidRPr="00CB7A5C" w:rsidRDefault="00C316A1" w:rsidP="006536A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B7A5C">
              <w:rPr>
                <w:rFonts w:cs="Arial"/>
                <w:b/>
                <w:bCs/>
                <w:color w:val="000000"/>
                <w:sz w:val="20"/>
                <w:szCs w:val="20"/>
              </w:rPr>
              <w:t>váha v %</w:t>
            </w:r>
          </w:p>
        </w:tc>
      </w:tr>
      <w:tr w:rsidR="00C316A1" w:rsidRPr="00CB7A5C" w14:paraId="6E4B0A39" w14:textId="77777777" w:rsidTr="00D46C3B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2896" w14:textId="77777777" w:rsidR="00C316A1" w:rsidRPr="00CB7A5C" w:rsidRDefault="00C316A1" w:rsidP="006536A4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B7A5C">
              <w:rPr>
                <w:rFonts w:cs="Arial"/>
                <w:sz w:val="20"/>
                <w:szCs w:val="20"/>
              </w:rPr>
              <w:t>t1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05C3" w14:textId="3FC5E612" w:rsidR="00C316A1" w:rsidRPr="00CB7A5C" w:rsidRDefault="00D134CE" w:rsidP="00867EE4">
            <w:pPr>
              <w:spacing w:line="240" w:lineRule="auto"/>
              <w:jc w:val="both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D134CE">
              <w:rPr>
                <w:rFonts w:cs="Arial"/>
                <w:sz w:val="20"/>
                <w:szCs w:val="20"/>
              </w:rPr>
              <w:t>Robotické řízení rotace stativu, ramen a optiky mikroskopu v 6 osách, funkce zapamatování pozice ohniska (zapamatované pozice musí zahrnovat ohnisko, pracovní vzdálenost, zvětšení a směr všech os mikroskopu a stativu), uživatel musí mít možnost výběru uložení pozice ohniska buď z rukojeti nebo nožního ovladače a přesouvat mikroskop automaticky do zvolené pozice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1309" w14:textId="77777777" w:rsidR="00C316A1" w:rsidRPr="00CB7A5C" w:rsidRDefault="00C316A1" w:rsidP="006536A4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7A5C">
              <w:rPr>
                <w:rFonts w:cs="Arial"/>
                <w:sz w:val="20"/>
                <w:szCs w:val="20"/>
              </w:rPr>
              <w:t>20</w:t>
            </w:r>
          </w:p>
        </w:tc>
      </w:tr>
      <w:tr w:rsidR="00C316A1" w:rsidRPr="00CB7A5C" w14:paraId="34005D1D" w14:textId="77777777" w:rsidTr="00D46C3B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1143" w14:textId="77777777" w:rsidR="00C316A1" w:rsidRPr="00CB7A5C" w:rsidRDefault="00C316A1" w:rsidP="006536A4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B7A5C">
              <w:rPr>
                <w:rFonts w:cs="Arial"/>
                <w:sz w:val="20"/>
                <w:szCs w:val="20"/>
              </w:rPr>
              <w:t>t2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0831" w14:textId="0FAAA443" w:rsidR="00C316A1" w:rsidRPr="00CB7A5C" w:rsidRDefault="00D134CE" w:rsidP="006536A4">
            <w:pPr>
              <w:spacing w:line="240" w:lineRule="auto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Rozsah nastavení pracovní vzdálenosti – maximální parametr</w:t>
            </w:r>
            <w:r w:rsidR="00C316A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F2E7" w14:textId="77777777" w:rsidR="00C316A1" w:rsidRPr="00CB7A5C" w:rsidRDefault="00C316A1" w:rsidP="006536A4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7A5C">
              <w:rPr>
                <w:rFonts w:cs="Arial"/>
                <w:sz w:val="20"/>
                <w:szCs w:val="20"/>
              </w:rPr>
              <w:t>10</w:t>
            </w:r>
          </w:p>
        </w:tc>
      </w:tr>
      <w:tr w:rsidR="00C316A1" w:rsidRPr="00CB7A5C" w14:paraId="6A45035A" w14:textId="77777777" w:rsidTr="00D46C3B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E92C" w14:textId="77777777" w:rsidR="00C316A1" w:rsidRPr="00CB7A5C" w:rsidRDefault="00C316A1" w:rsidP="006536A4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B7A5C">
              <w:rPr>
                <w:rFonts w:cs="Arial"/>
                <w:sz w:val="20"/>
                <w:szCs w:val="20"/>
              </w:rPr>
              <w:t>t3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E2F8" w14:textId="1C0E56CD" w:rsidR="00C316A1" w:rsidRPr="00CB7A5C" w:rsidRDefault="00D134CE" w:rsidP="006536A4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D134CE">
              <w:rPr>
                <w:rFonts w:cs="Arial"/>
                <w:sz w:val="20"/>
                <w:szCs w:val="20"/>
              </w:rPr>
              <w:t>Integrované přídavné osvětlení pro eliminaci stínů v úzkých kanálech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7D2" w14:textId="3DB88A1B" w:rsidR="00C316A1" w:rsidRPr="00CB7A5C" w:rsidRDefault="00D134CE" w:rsidP="006536A4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</w:tr>
      <w:tr w:rsidR="00C316A1" w:rsidRPr="00CB7A5C" w14:paraId="15FAD6A7" w14:textId="77777777" w:rsidTr="00D46C3B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7925" w14:textId="77777777" w:rsidR="00C316A1" w:rsidRPr="00CB7A5C" w:rsidRDefault="00C316A1" w:rsidP="006536A4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B7A5C">
              <w:rPr>
                <w:rFonts w:cs="Arial"/>
                <w:sz w:val="20"/>
                <w:szCs w:val="20"/>
              </w:rPr>
              <w:t>t4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7E64" w14:textId="7FB1D025" w:rsidR="00C316A1" w:rsidRPr="00CB7A5C" w:rsidRDefault="00D134CE" w:rsidP="00867EE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D134CE">
              <w:rPr>
                <w:rFonts w:cs="Arial"/>
                <w:sz w:val="20"/>
                <w:szCs w:val="20"/>
              </w:rPr>
              <w:t xml:space="preserve">Integrovaná barevná projekce do obou okulárů operatéra k zobrazení dat z navigace, CT, MRI, endoskopu atd. s funkcí </w:t>
            </w:r>
            <w:proofErr w:type="spellStart"/>
            <w:r w:rsidRPr="00D134CE">
              <w:rPr>
                <w:rFonts w:cs="Arial"/>
                <w:sz w:val="20"/>
                <w:szCs w:val="20"/>
              </w:rPr>
              <w:t>superimpozice</w:t>
            </w:r>
            <w:proofErr w:type="spellEnd"/>
            <w:r w:rsidRPr="00D134CE">
              <w:rPr>
                <w:rFonts w:cs="Arial"/>
                <w:sz w:val="20"/>
                <w:szCs w:val="20"/>
              </w:rPr>
              <w:t>, s možností ovládání zobrazení dat z rukojetí při zachování sterility systému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F92" w14:textId="74AF3CBC" w:rsidR="00C316A1" w:rsidRPr="00CB7A5C" w:rsidRDefault="00D134CE" w:rsidP="006536A4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</w:tr>
      <w:tr w:rsidR="00C316A1" w:rsidRPr="00CB7A5C" w14:paraId="45C13E00" w14:textId="77777777" w:rsidTr="00D46C3B">
        <w:trPr>
          <w:trHeight w:val="4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A80" w14:textId="77777777" w:rsidR="00C316A1" w:rsidRPr="00CB7A5C" w:rsidRDefault="00C316A1" w:rsidP="006536A4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B7A5C">
              <w:rPr>
                <w:rFonts w:cs="Arial"/>
                <w:sz w:val="20"/>
                <w:szCs w:val="20"/>
              </w:rPr>
              <w:t>t5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356E" w14:textId="73E1FD78" w:rsidR="00C316A1" w:rsidRPr="00CB7A5C" w:rsidRDefault="00D134CE" w:rsidP="00867EE4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D134CE">
              <w:rPr>
                <w:rFonts w:cs="Arial"/>
                <w:sz w:val="20"/>
                <w:szCs w:val="20"/>
              </w:rPr>
              <w:t xml:space="preserve">Systém musí obsahovat mikro-pozorovací nástroj, který slouží na endogenní vizualizaci tkáně mimo viditelnost mikroskopu, rozlišení integrovaného mikro-pozorovacího nástroje min. full HD kvalitě, Pracovní vzdálenost mikro-pozorovacího nástroje v rozsahu min. 5 mm až 30 mm, Mikro-pozorovací nástroj s možností re-sterilizace, Centrální řídící jednotka, záznamové zařízení, uživatelské rozhraní a monitor </w:t>
            </w:r>
            <w:proofErr w:type="spellStart"/>
            <w:r w:rsidRPr="00D134CE">
              <w:rPr>
                <w:rFonts w:cs="Arial"/>
                <w:sz w:val="20"/>
                <w:szCs w:val="20"/>
              </w:rPr>
              <w:t>mikropozorovacího</w:t>
            </w:r>
            <w:proofErr w:type="spellEnd"/>
            <w:r w:rsidRPr="00D134CE">
              <w:rPr>
                <w:rFonts w:cs="Arial"/>
                <w:sz w:val="20"/>
                <w:szCs w:val="20"/>
              </w:rPr>
              <w:t xml:space="preserve"> nástroje musí být integrované do systému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8A22" w14:textId="77F32147" w:rsidR="00C316A1" w:rsidRPr="00CB7A5C" w:rsidRDefault="00D134CE" w:rsidP="006536A4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</w:tr>
    </w:tbl>
    <w:p w14:paraId="3BEAA9CE" w14:textId="2F97C7D7" w:rsidR="00C316A1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</w:p>
    <w:p w14:paraId="4E022B54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14:paraId="29EC1667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14:paraId="45789B8C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14:paraId="38F305B7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14:paraId="4E0C0891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14:paraId="3A2AE3D1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14:paraId="37E42D05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14:paraId="5A6CD3E6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14:paraId="44C79528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14:paraId="4367AFC9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  <w:u w:val="single"/>
        </w:rPr>
      </w:pPr>
    </w:p>
    <w:p w14:paraId="30615AD3" w14:textId="7BCF870F" w:rsidR="006536A4" w:rsidRPr="006536A4" w:rsidRDefault="00C316A1" w:rsidP="006536A4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8220CC">
        <w:rPr>
          <w:rFonts w:cs="Arial"/>
          <w:sz w:val="20"/>
          <w:szCs w:val="20"/>
          <w:u w:val="single"/>
        </w:rPr>
        <w:t>Pracovní postup hodnocení:</w:t>
      </w:r>
    </w:p>
    <w:p w14:paraId="13B72F71" w14:textId="77777777" w:rsidR="006536A4" w:rsidRDefault="006536A4" w:rsidP="006536A4">
      <w:pPr>
        <w:spacing w:line="240" w:lineRule="auto"/>
        <w:jc w:val="both"/>
        <w:rPr>
          <w:rFonts w:cs="Arial"/>
          <w:sz w:val="20"/>
          <w:szCs w:val="20"/>
        </w:rPr>
      </w:pPr>
    </w:p>
    <w:p w14:paraId="4E8D6986" w14:textId="75A3CBC7" w:rsidR="00C316A1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  <w:r w:rsidRPr="008220CC">
        <w:rPr>
          <w:rFonts w:cs="Arial"/>
          <w:sz w:val="20"/>
          <w:szCs w:val="20"/>
        </w:rPr>
        <w:t xml:space="preserve">Hodnocení </w:t>
      </w:r>
      <w:r w:rsidRPr="008220CC">
        <w:rPr>
          <w:rFonts w:cs="Arial"/>
          <w:i/>
          <w:sz w:val="20"/>
          <w:szCs w:val="20"/>
        </w:rPr>
        <w:t xml:space="preserve">nabídkové ceny bez DPH – </w:t>
      </w:r>
      <w:r w:rsidRPr="008220CC">
        <w:rPr>
          <w:rFonts w:cs="Arial"/>
          <w:sz w:val="20"/>
          <w:szCs w:val="20"/>
        </w:rPr>
        <w:t>bude stanoveno dle vzorce:</w:t>
      </w:r>
    </w:p>
    <w:p w14:paraId="124FCA5B" w14:textId="77777777" w:rsidR="006536A4" w:rsidRPr="008220CC" w:rsidRDefault="006536A4" w:rsidP="006536A4">
      <w:pPr>
        <w:spacing w:line="240" w:lineRule="auto"/>
        <w:jc w:val="both"/>
        <w:rPr>
          <w:rFonts w:cs="Arial"/>
          <w:sz w:val="20"/>
          <w:szCs w:val="20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2165"/>
        <w:gridCol w:w="2427"/>
        <w:gridCol w:w="1578"/>
        <w:gridCol w:w="2682"/>
      </w:tblGrid>
      <w:tr w:rsidR="00C316A1" w:rsidRPr="008220CC" w14:paraId="0EC97380" w14:textId="77777777" w:rsidTr="006536A4">
        <w:trPr>
          <w:trHeight w:val="156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3FCD4AD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b/>
                <w:sz w:val="20"/>
                <w:szCs w:val="20"/>
              </w:rPr>
            </w:pPr>
            <w:r w:rsidRPr="008220CC">
              <w:rPr>
                <w:rFonts w:cs="Arial"/>
                <w:b/>
                <w:sz w:val="20"/>
                <w:szCs w:val="20"/>
              </w:rPr>
              <w:t>Kritérium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577C49E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b/>
                <w:sz w:val="20"/>
                <w:szCs w:val="20"/>
              </w:rPr>
            </w:pPr>
            <w:r w:rsidRPr="008220CC">
              <w:rPr>
                <w:rFonts w:cs="Arial"/>
                <w:b/>
                <w:sz w:val="20"/>
                <w:szCs w:val="20"/>
              </w:rPr>
              <w:t>Výpočet – normalizace hodnot (minimalizační / maximalizační kritérium)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EBEBE16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b/>
                <w:sz w:val="20"/>
                <w:szCs w:val="20"/>
              </w:rPr>
            </w:pPr>
            <w:r w:rsidRPr="008220CC">
              <w:rPr>
                <w:rFonts w:cs="Arial"/>
                <w:b/>
                <w:sz w:val="20"/>
                <w:szCs w:val="20"/>
              </w:rPr>
              <w:t xml:space="preserve">Výpočet – součet dílčích vážených </w:t>
            </w:r>
            <w:proofErr w:type="spellStart"/>
            <w:r w:rsidRPr="008220CC">
              <w:rPr>
                <w:rFonts w:cs="Arial"/>
                <w:b/>
                <w:sz w:val="20"/>
                <w:szCs w:val="20"/>
              </w:rPr>
              <w:t>subkritérií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68F1FEC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b/>
                <w:sz w:val="20"/>
                <w:szCs w:val="20"/>
              </w:rPr>
            </w:pPr>
            <w:r w:rsidRPr="008220CC">
              <w:rPr>
                <w:rFonts w:cs="Arial"/>
                <w:b/>
                <w:sz w:val="20"/>
                <w:szCs w:val="20"/>
              </w:rPr>
              <w:t xml:space="preserve">Výpočet – dílčí vážené </w:t>
            </w:r>
            <w:proofErr w:type="spellStart"/>
            <w:r w:rsidRPr="008220CC">
              <w:rPr>
                <w:rFonts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BC8509D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b/>
                <w:sz w:val="20"/>
                <w:szCs w:val="20"/>
              </w:rPr>
            </w:pPr>
            <w:r w:rsidRPr="008220CC">
              <w:rPr>
                <w:rFonts w:cs="Arial"/>
                <w:b/>
                <w:sz w:val="20"/>
                <w:szCs w:val="20"/>
              </w:rPr>
              <w:t xml:space="preserve">Výpočet – normalizace hodnot (maximalizační </w:t>
            </w:r>
            <w:proofErr w:type="spellStart"/>
            <w:r w:rsidRPr="008220CC">
              <w:rPr>
                <w:rFonts w:cs="Arial"/>
                <w:b/>
                <w:sz w:val="20"/>
                <w:szCs w:val="20"/>
              </w:rPr>
              <w:t>subkritérium</w:t>
            </w:r>
            <w:proofErr w:type="spellEnd"/>
            <w:r w:rsidRPr="008220CC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C316A1" w:rsidRPr="008220CC" w14:paraId="41711345" w14:textId="77777777" w:rsidTr="00D46C3B">
        <w:trPr>
          <w:trHeight w:val="70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AE85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8220CC">
              <w:rPr>
                <w:rFonts w:cs="Arial"/>
                <w:sz w:val="20"/>
                <w:szCs w:val="20"/>
              </w:rPr>
              <w:t>E</w:t>
            </w:r>
            <w:r w:rsidRPr="008220CC">
              <w:rPr>
                <w:rFonts w:cs="Arial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06EC" w14:textId="77777777" w:rsidR="00C316A1" w:rsidRPr="008220CC" w:rsidRDefault="00E9513A" w:rsidP="006536A4">
            <w:pPr>
              <w:spacing w:line="240" w:lineRule="auto"/>
              <w:rPr>
                <w:rFonts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*100</m:t>
                </m:r>
              </m:oMath>
            </m:oMathPara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6712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8220CC">
              <w:rPr>
                <w:rFonts w:cs="Arial"/>
                <w:sz w:val="20"/>
                <w:szCs w:val="20"/>
              </w:rPr>
              <w:t>--------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077D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8220CC">
              <w:rPr>
                <w:rFonts w:cs="Arial"/>
                <w:sz w:val="20"/>
                <w:szCs w:val="20"/>
              </w:rPr>
              <w:t>--------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1A40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8220CC">
              <w:rPr>
                <w:rFonts w:cs="Arial"/>
                <w:sz w:val="20"/>
                <w:szCs w:val="20"/>
              </w:rPr>
              <w:t>--------</w:t>
            </w:r>
          </w:p>
        </w:tc>
      </w:tr>
      <w:tr w:rsidR="00C316A1" w:rsidRPr="008220CC" w14:paraId="53C8ECFD" w14:textId="77777777" w:rsidTr="00D46C3B">
        <w:trPr>
          <w:trHeight w:val="70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0806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8220CC">
              <w:rPr>
                <w:rFonts w:cs="Arial"/>
                <w:sz w:val="20"/>
                <w:szCs w:val="20"/>
              </w:rPr>
              <w:t>E</w:t>
            </w:r>
            <w:r w:rsidRPr="008220CC">
              <w:rPr>
                <w:rFonts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8C5E" w14:textId="77777777" w:rsidR="00C316A1" w:rsidRPr="008220CC" w:rsidRDefault="00E9513A" w:rsidP="006536A4">
            <w:pPr>
              <w:spacing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max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*100</m:t>
                </m:r>
              </m:oMath>
            </m:oMathPara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E936" w14:textId="77777777" w:rsidR="00C316A1" w:rsidRPr="008220CC" w:rsidRDefault="00C316A1" w:rsidP="006536A4">
            <w:pPr>
              <w:pStyle w:val="Odstavecseseznamem"/>
              <w:spacing w:line="240" w:lineRule="auto"/>
              <w:ind w:left="0"/>
              <w:jc w:val="center"/>
              <w:rPr>
                <w:rFonts w:cs="Arial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T=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i=1-n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nary>
              </m:oMath>
            </m:oMathPara>
          </w:p>
          <w:p w14:paraId="3BD18838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0BF" w14:textId="77777777" w:rsidR="00C316A1" w:rsidRPr="008220CC" w:rsidRDefault="00E9513A" w:rsidP="006536A4">
            <w:pPr>
              <w:spacing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E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4F81BD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7883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  <w:p w14:paraId="4A9C0D6F" w14:textId="77777777" w:rsidR="00C316A1" w:rsidRPr="008220CC" w:rsidRDefault="00E9513A" w:rsidP="006536A4">
            <w:pPr>
              <w:spacing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max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*100</m:t>
                </m:r>
              </m:oMath>
            </m:oMathPara>
          </w:p>
          <w:p w14:paraId="5FBC3EFA" w14:textId="77777777" w:rsidR="00C316A1" w:rsidRPr="008220CC" w:rsidRDefault="00C316A1" w:rsidP="006536A4">
            <w:pPr>
              <w:spacing w:line="240" w:lineRule="auto"/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6CDA5021" w14:textId="7079618C" w:rsidR="00C316A1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</w:p>
    <w:p w14:paraId="4A74CD10" w14:textId="77777777" w:rsidR="00C316A1" w:rsidRPr="008220CC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  <w:r w:rsidRPr="008220CC">
        <w:rPr>
          <w:rFonts w:cs="Arial"/>
          <w:sz w:val="20"/>
          <w:szCs w:val="20"/>
        </w:rPr>
        <w:t>Popis hodnocení technických parametrů:</w:t>
      </w:r>
    </w:p>
    <w:p w14:paraId="7BA02A92" w14:textId="7DEBB92C" w:rsidR="00C316A1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</w:p>
    <w:p w14:paraId="7638F4C3" w14:textId="77777777" w:rsidR="00C316A1" w:rsidRPr="008220CC" w:rsidRDefault="00C316A1" w:rsidP="006536A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cs="Arial"/>
          <w:sz w:val="20"/>
          <w:szCs w:val="20"/>
        </w:rPr>
      </w:pPr>
      <w:r w:rsidRPr="008220CC">
        <w:rPr>
          <w:rFonts w:cs="Arial"/>
          <w:sz w:val="20"/>
          <w:szCs w:val="20"/>
        </w:rPr>
        <w:t>t1 – ANO – 100 bodů, NE – 0 bodů</w:t>
      </w:r>
    </w:p>
    <w:p w14:paraId="0212E031" w14:textId="77777777" w:rsidR="00C316A1" w:rsidRPr="008220CC" w:rsidRDefault="00C316A1" w:rsidP="006536A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cs="Arial"/>
          <w:sz w:val="20"/>
          <w:szCs w:val="20"/>
        </w:rPr>
      </w:pPr>
      <w:r w:rsidRPr="008220CC">
        <w:rPr>
          <w:rFonts w:cs="Arial"/>
          <w:sz w:val="20"/>
          <w:szCs w:val="20"/>
        </w:rPr>
        <w:t>t2 – maximalizační parametr</w:t>
      </w:r>
    </w:p>
    <w:p w14:paraId="292F7B50" w14:textId="1FB32079" w:rsidR="00C316A1" w:rsidRPr="008220CC" w:rsidRDefault="00C316A1" w:rsidP="006536A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cs="Arial"/>
          <w:sz w:val="20"/>
          <w:szCs w:val="20"/>
        </w:rPr>
      </w:pPr>
      <w:r w:rsidRPr="008220CC">
        <w:rPr>
          <w:rFonts w:cs="Arial"/>
          <w:sz w:val="20"/>
          <w:szCs w:val="20"/>
        </w:rPr>
        <w:t xml:space="preserve">t3 – </w:t>
      </w:r>
      <w:r w:rsidR="00D134CE" w:rsidRPr="008220CC">
        <w:rPr>
          <w:rFonts w:cs="Arial"/>
          <w:sz w:val="20"/>
          <w:szCs w:val="20"/>
        </w:rPr>
        <w:t>ANO – 100 bodů, NE – 0 bodů</w:t>
      </w:r>
    </w:p>
    <w:p w14:paraId="1D9A78CB" w14:textId="77777777" w:rsidR="00C316A1" w:rsidRPr="008220CC" w:rsidRDefault="00C316A1" w:rsidP="006536A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cs="Arial"/>
          <w:sz w:val="20"/>
          <w:szCs w:val="20"/>
        </w:rPr>
      </w:pPr>
      <w:r w:rsidRPr="008220CC">
        <w:rPr>
          <w:rFonts w:cs="Arial"/>
          <w:sz w:val="20"/>
          <w:szCs w:val="20"/>
        </w:rPr>
        <w:t>t4 – ANO – 100 bodů, NE – 0 bodů</w:t>
      </w:r>
    </w:p>
    <w:p w14:paraId="4A18CE39" w14:textId="77777777" w:rsidR="00C316A1" w:rsidRPr="008220CC" w:rsidRDefault="00C316A1" w:rsidP="006536A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cs="Arial"/>
          <w:sz w:val="20"/>
          <w:szCs w:val="20"/>
        </w:rPr>
      </w:pPr>
      <w:r w:rsidRPr="008220CC">
        <w:rPr>
          <w:rFonts w:cs="Arial"/>
          <w:sz w:val="20"/>
          <w:szCs w:val="20"/>
        </w:rPr>
        <w:t>t5 – ANO – 100 bodů, NE – 0 bodů</w:t>
      </w:r>
    </w:p>
    <w:p w14:paraId="572BCF6F" w14:textId="0B44FD9A" w:rsidR="00C316A1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</w:p>
    <w:p w14:paraId="51241635" w14:textId="77777777" w:rsidR="00C316A1" w:rsidRPr="008220CC" w:rsidRDefault="00C316A1" w:rsidP="006536A4">
      <w:pPr>
        <w:pStyle w:val="Odstavecseseznamem"/>
        <w:spacing w:line="240" w:lineRule="auto"/>
        <w:ind w:left="0"/>
        <w:rPr>
          <w:rFonts w:cs="Arial"/>
          <w:i/>
          <w:iCs/>
          <w:sz w:val="20"/>
          <w:szCs w:val="20"/>
        </w:rPr>
      </w:pPr>
      <w:proofErr w:type="spellStart"/>
      <w:r w:rsidRPr="008220CC">
        <w:rPr>
          <w:rFonts w:cs="Arial"/>
          <w:i/>
          <w:iCs/>
          <w:sz w:val="20"/>
          <w:szCs w:val="20"/>
        </w:rPr>
        <w:t>C</w:t>
      </w:r>
      <w:r w:rsidRPr="008220CC">
        <w:rPr>
          <w:rFonts w:cs="Arial"/>
          <w:i/>
          <w:iCs/>
          <w:sz w:val="20"/>
          <w:szCs w:val="20"/>
          <w:vertAlign w:val="subscript"/>
        </w:rPr>
        <w:t>min</w:t>
      </w:r>
      <w:proofErr w:type="spellEnd"/>
      <w:r w:rsidRPr="008220CC">
        <w:rPr>
          <w:rFonts w:cs="Arial"/>
          <w:i/>
          <w:iCs/>
          <w:sz w:val="20"/>
          <w:szCs w:val="20"/>
        </w:rPr>
        <w:t xml:space="preserve"> = nejnižší nabízená nabídková cena všech účastníků,</w:t>
      </w:r>
    </w:p>
    <w:p w14:paraId="7074D83A" w14:textId="77777777" w:rsidR="00C316A1" w:rsidRPr="008220CC" w:rsidRDefault="00C316A1" w:rsidP="006536A4">
      <w:pPr>
        <w:pStyle w:val="Odstavecseseznamem"/>
        <w:spacing w:line="240" w:lineRule="auto"/>
        <w:ind w:left="0"/>
        <w:rPr>
          <w:rFonts w:cs="Arial"/>
          <w:i/>
          <w:iCs/>
          <w:sz w:val="20"/>
          <w:szCs w:val="20"/>
        </w:rPr>
      </w:pPr>
      <w:r w:rsidRPr="008220CC">
        <w:rPr>
          <w:rFonts w:cs="Arial"/>
          <w:i/>
          <w:iCs/>
          <w:sz w:val="20"/>
          <w:szCs w:val="20"/>
        </w:rPr>
        <w:t>C</w:t>
      </w:r>
      <w:r w:rsidRPr="008220CC">
        <w:rPr>
          <w:rFonts w:cs="Arial"/>
          <w:i/>
          <w:iCs/>
          <w:sz w:val="20"/>
          <w:szCs w:val="20"/>
          <w:vertAlign w:val="subscript"/>
        </w:rPr>
        <w:t xml:space="preserve"> </w:t>
      </w:r>
      <w:r w:rsidRPr="008220CC">
        <w:rPr>
          <w:rFonts w:cs="Arial"/>
          <w:i/>
          <w:iCs/>
          <w:sz w:val="20"/>
          <w:szCs w:val="20"/>
        </w:rPr>
        <w:t>= nabídková</w:t>
      </w:r>
      <w:r w:rsidRPr="008220CC">
        <w:rPr>
          <w:rFonts w:cs="Arial"/>
          <w:i/>
          <w:iCs/>
          <w:sz w:val="20"/>
          <w:szCs w:val="20"/>
          <w:vertAlign w:val="subscript"/>
        </w:rPr>
        <w:t xml:space="preserve"> </w:t>
      </w:r>
      <w:r w:rsidRPr="008220CC">
        <w:rPr>
          <w:rFonts w:cs="Arial"/>
          <w:i/>
          <w:iCs/>
          <w:sz w:val="20"/>
          <w:szCs w:val="20"/>
        </w:rPr>
        <w:t>cena nabízená hodnoceným účastníkem,</w:t>
      </w:r>
    </w:p>
    <w:p w14:paraId="4D981544" w14:textId="77777777" w:rsidR="00C316A1" w:rsidRPr="008220CC" w:rsidRDefault="00E9513A" w:rsidP="006536A4">
      <w:pPr>
        <w:pStyle w:val="Odstavecseseznamem"/>
        <w:spacing w:line="240" w:lineRule="auto"/>
        <w:ind w:left="0"/>
        <w:rPr>
          <w:rFonts w:cs="Arial"/>
          <w:i/>
          <w:iCs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C</m:t>
            </m:r>
          </m:sub>
        </m:sSub>
      </m:oMath>
      <w:r w:rsidR="00C316A1" w:rsidRPr="008220CC">
        <w:rPr>
          <w:rFonts w:cs="Arial"/>
          <w:i/>
          <w:iCs/>
          <w:sz w:val="20"/>
          <w:szCs w:val="20"/>
        </w:rPr>
        <w:t>= normalizace nabídkové ceny hodnoceného účastníka,</w:t>
      </w:r>
    </w:p>
    <w:p w14:paraId="5E74B6A1" w14:textId="77777777" w:rsidR="00C316A1" w:rsidRPr="008220CC" w:rsidRDefault="00E9513A" w:rsidP="006536A4">
      <w:pPr>
        <w:pStyle w:val="Odstavecseseznamem"/>
        <w:spacing w:line="240" w:lineRule="auto"/>
        <w:ind w:left="0"/>
        <w:rPr>
          <w:rFonts w:cs="Arial"/>
          <w:i/>
          <w:iCs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C316A1" w:rsidRPr="008220CC">
        <w:rPr>
          <w:rFonts w:cs="Arial"/>
          <w:i/>
          <w:iCs/>
          <w:sz w:val="20"/>
          <w:szCs w:val="20"/>
        </w:rPr>
        <w:t>= hodnota bodů přidělených dle hodno</w:t>
      </w:r>
      <w:proofErr w:type="spellStart"/>
      <w:r w:rsidR="00C316A1" w:rsidRPr="008220CC">
        <w:rPr>
          <w:rFonts w:cs="Arial"/>
          <w:i/>
          <w:iCs/>
          <w:sz w:val="20"/>
          <w:szCs w:val="20"/>
        </w:rPr>
        <w:t>tící</w:t>
      </w:r>
      <w:proofErr w:type="spellEnd"/>
      <w:r w:rsidR="00C316A1" w:rsidRPr="008220CC">
        <w:rPr>
          <w:rFonts w:cs="Arial"/>
          <w:i/>
          <w:iCs/>
          <w:sz w:val="20"/>
          <w:szCs w:val="20"/>
        </w:rPr>
        <w:t xml:space="preserve"> škály za i-té technické kritérium hodnoceného účastníka,</w:t>
      </w:r>
    </w:p>
    <w:p w14:paraId="3E8F3207" w14:textId="77777777" w:rsidR="00C316A1" w:rsidRPr="008220CC" w:rsidRDefault="00C316A1" w:rsidP="006536A4">
      <w:pPr>
        <w:pStyle w:val="Odstavecseseznamem"/>
        <w:spacing w:line="240" w:lineRule="auto"/>
        <w:ind w:left="0"/>
        <w:rPr>
          <w:rFonts w:cs="Arial"/>
          <w:i/>
          <w:iCs/>
          <w:sz w:val="20"/>
          <w:szCs w:val="20"/>
        </w:rPr>
      </w:pPr>
      <w:proofErr w:type="spellStart"/>
      <w:r w:rsidRPr="008220CC">
        <w:rPr>
          <w:rFonts w:cs="Arial"/>
          <w:i/>
          <w:iCs/>
          <w:sz w:val="20"/>
          <w:szCs w:val="20"/>
        </w:rPr>
        <w:t>t</w:t>
      </w:r>
      <w:r w:rsidRPr="008220CC">
        <w:rPr>
          <w:rFonts w:cs="Arial"/>
          <w:i/>
          <w:iCs/>
          <w:sz w:val="20"/>
          <w:szCs w:val="20"/>
          <w:vertAlign w:val="subscript"/>
        </w:rPr>
        <w:t>max</w:t>
      </w:r>
      <w:proofErr w:type="spellEnd"/>
      <w:r w:rsidRPr="008220CC">
        <w:rPr>
          <w:rFonts w:cs="Arial"/>
          <w:i/>
          <w:iCs/>
          <w:sz w:val="20"/>
          <w:szCs w:val="20"/>
        </w:rPr>
        <w:t xml:space="preserve"> = nejvyšší možná hodnota bodů, kterou lze za technické kritérium přidělit,</w:t>
      </w:r>
    </w:p>
    <w:p w14:paraId="167F13D5" w14:textId="29C489AA" w:rsidR="00C316A1" w:rsidRPr="008220CC" w:rsidRDefault="00E9513A" w:rsidP="006536A4">
      <w:pPr>
        <w:pStyle w:val="Odstavecseseznamem"/>
        <w:spacing w:line="240" w:lineRule="auto"/>
        <w:ind w:left="0"/>
        <w:rPr>
          <w:rFonts w:cs="Arial"/>
          <w:i/>
          <w:iCs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C316A1" w:rsidRPr="008220CC">
        <w:rPr>
          <w:rFonts w:cs="Arial"/>
          <w:i/>
          <w:iCs/>
          <w:sz w:val="20"/>
          <w:szCs w:val="20"/>
        </w:rPr>
        <w:t>= normovaný počet bodů za i-té technické kritérium hodnoceného účastníka,</w:t>
      </w: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C316A1" w:rsidRPr="008220CC">
        <w:rPr>
          <w:rFonts w:cs="Arial"/>
          <w:i/>
          <w:iCs/>
          <w:sz w:val="20"/>
          <w:szCs w:val="20"/>
        </w:rPr>
        <w:t xml:space="preserve"> = váha i-tého technického kritér</w:t>
      </w:r>
      <w:proofErr w:type="spellStart"/>
      <w:r w:rsidR="00C316A1" w:rsidRPr="008220CC">
        <w:rPr>
          <w:rFonts w:cs="Arial"/>
          <w:i/>
          <w:iCs/>
          <w:sz w:val="20"/>
          <w:szCs w:val="20"/>
        </w:rPr>
        <w:t>ia</w:t>
      </w:r>
      <w:proofErr w:type="spellEnd"/>
      <w:r w:rsidR="00C316A1" w:rsidRPr="008220CC">
        <w:rPr>
          <w:rFonts w:cs="Arial"/>
          <w:i/>
          <w:iCs/>
          <w:sz w:val="20"/>
          <w:szCs w:val="20"/>
        </w:rPr>
        <w:t xml:space="preserve"> v %,</w:t>
      </w:r>
    </w:p>
    <w:p w14:paraId="24288B54" w14:textId="77777777" w:rsidR="00C316A1" w:rsidRPr="008220CC" w:rsidRDefault="00E9513A" w:rsidP="006536A4">
      <w:pPr>
        <w:pStyle w:val="Odstavecseseznamem"/>
        <w:spacing w:line="240" w:lineRule="auto"/>
        <w:ind w:left="0"/>
        <w:rPr>
          <w:rFonts w:cs="Arial"/>
          <w:i/>
          <w:iCs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  <w:iCs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</m:sub>
            </m:sSub>
          </m:sub>
        </m:sSub>
      </m:oMath>
      <w:r w:rsidR="00C316A1" w:rsidRPr="008220CC">
        <w:rPr>
          <w:rFonts w:cs="Arial"/>
          <w:i/>
          <w:iCs/>
          <w:sz w:val="20"/>
          <w:szCs w:val="20"/>
        </w:rPr>
        <w:t>= dílčí vážené subkritérium i-tého technického parametru hodnoceného účastníka,</w:t>
      </w:r>
    </w:p>
    <w:p w14:paraId="4275CACA" w14:textId="77777777" w:rsidR="00C316A1" w:rsidRPr="008220CC" w:rsidRDefault="00C316A1" w:rsidP="006536A4">
      <w:pPr>
        <w:pStyle w:val="Odstavecseseznamem"/>
        <w:spacing w:line="240" w:lineRule="auto"/>
        <w:ind w:left="0"/>
        <w:rPr>
          <w:rFonts w:cs="Arial"/>
          <w:i/>
          <w:iCs/>
          <w:sz w:val="20"/>
          <w:szCs w:val="20"/>
        </w:rPr>
      </w:pPr>
      <w:r w:rsidRPr="008220CC">
        <w:rPr>
          <w:rFonts w:cs="Arial"/>
          <w:i/>
          <w:iCs/>
          <w:sz w:val="20"/>
          <w:szCs w:val="20"/>
        </w:rPr>
        <w:t>n = celkový počet technických kritérií,</w:t>
      </w:r>
    </w:p>
    <w:p w14:paraId="3BF186D8" w14:textId="77777777" w:rsidR="00C316A1" w:rsidRPr="008220CC" w:rsidRDefault="00C316A1" w:rsidP="006536A4">
      <w:pPr>
        <w:pStyle w:val="Odstavecseseznamem"/>
        <w:spacing w:line="240" w:lineRule="auto"/>
        <w:ind w:left="0"/>
        <w:rPr>
          <w:rFonts w:cs="Arial"/>
          <w:i/>
          <w:iCs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 w:rsidRPr="008220CC">
        <w:rPr>
          <w:rFonts w:cs="Arial"/>
          <w:i/>
          <w:iCs/>
          <w:sz w:val="20"/>
          <w:szCs w:val="20"/>
          <w:vertAlign w:val="subscript"/>
        </w:rPr>
        <w:t xml:space="preserve"> </w:t>
      </w:r>
      <w:r w:rsidRPr="008220CC">
        <w:rPr>
          <w:rFonts w:cs="Arial"/>
          <w:i/>
          <w:iCs/>
          <w:sz w:val="20"/>
          <w:szCs w:val="20"/>
        </w:rPr>
        <w:t>=</w:t>
      </w:r>
      <w:r w:rsidRPr="008220CC">
        <w:rPr>
          <w:rFonts w:cs="Arial"/>
          <w:i/>
          <w:iCs/>
          <w:sz w:val="20"/>
          <w:szCs w:val="20"/>
          <w:vertAlign w:val="subscript"/>
        </w:rPr>
        <w:t xml:space="preserve"> </w:t>
      </w:r>
      <w:r w:rsidRPr="008220CC">
        <w:rPr>
          <w:rFonts w:cs="Arial"/>
          <w:i/>
          <w:iCs/>
          <w:sz w:val="20"/>
          <w:szCs w:val="20"/>
        </w:rPr>
        <w:t xml:space="preserve">hodnota součtu dílčích vážených </w:t>
      </w:r>
      <w:proofErr w:type="spellStart"/>
      <w:r w:rsidRPr="008220CC">
        <w:rPr>
          <w:rFonts w:cs="Arial"/>
          <w:i/>
          <w:iCs/>
          <w:sz w:val="20"/>
          <w:szCs w:val="20"/>
        </w:rPr>
        <w:t>subkritérií</w:t>
      </w:r>
      <w:proofErr w:type="spellEnd"/>
      <w:r w:rsidRPr="008220CC">
        <w:rPr>
          <w:rFonts w:cs="Arial"/>
          <w:i/>
          <w:iCs/>
          <w:sz w:val="20"/>
          <w:szCs w:val="20"/>
        </w:rPr>
        <w:t xml:space="preserve"> nabídky hodnoceného účastníka,</w:t>
      </w:r>
    </w:p>
    <w:p w14:paraId="3BCECFAE" w14:textId="77777777" w:rsidR="00C316A1" w:rsidRPr="008220CC" w:rsidRDefault="00E9513A" w:rsidP="006536A4">
      <w:pPr>
        <w:spacing w:line="240" w:lineRule="auto"/>
        <w:jc w:val="both"/>
        <w:rPr>
          <w:rFonts w:cs="Arial"/>
          <w:i/>
          <w:iCs/>
          <w:sz w:val="20"/>
          <w:szCs w:val="20"/>
          <w:lang w:bidi="he-IL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  <w:lang w:bidi="he-IL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bidi="he-IL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  <w:lang w:bidi="he-IL"/>
              </w:rPr>
              <m:t>max</m:t>
            </m:r>
          </m:sub>
        </m:sSub>
      </m:oMath>
      <w:r w:rsidR="00C316A1" w:rsidRPr="008220CC">
        <w:rPr>
          <w:rFonts w:cs="Arial"/>
          <w:i/>
          <w:iCs/>
          <w:sz w:val="20"/>
          <w:szCs w:val="20"/>
          <w:lang w:bidi="he-IL"/>
        </w:rPr>
        <w:t xml:space="preserve"> = nejvyšší hodnota ze součtů dílčích vážených kritérií všech účastníků,</w:t>
      </w:r>
    </w:p>
    <w:p w14:paraId="08021D6E" w14:textId="77777777" w:rsidR="00C316A1" w:rsidRPr="008220CC" w:rsidRDefault="00E9513A" w:rsidP="006536A4">
      <w:pPr>
        <w:spacing w:line="240" w:lineRule="auto"/>
        <w:jc w:val="both"/>
        <w:rPr>
          <w:rFonts w:cs="Arial"/>
          <w:i/>
          <w:iCs/>
          <w:sz w:val="20"/>
          <w:szCs w:val="20"/>
          <w:lang w:bidi="he-IL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sz w:val="20"/>
                <w:szCs w:val="20"/>
                <w:lang w:bidi="he-IL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  <w:lang w:bidi="he-IL"/>
              </w:rPr>
              <m:t>E</m:t>
            </m:r>
          </m:e>
          <m:sub>
            <m:r>
              <w:rPr>
                <w:rFonts w:ascii="Cambria Math" w:hAnsi="Cambria Math" w:cs="Arial"/>
                <w:sz w:val="20"/>
                <w:szCs w:val="20"/>
                <w:lang w:bidi="he-IL"/>
              </w:rPr>
              <m:t>T</m:t>
            </m:r>
          </m:sub>
        </m:sSub>
      </m:oMath>
      <w:r w:rsidR="00C316A1" w:rsidRPr="008220CC">
        <w:rPr>
          <w:rFonts w:cs="Arial"/>
          <w:i/>
          <w:iCs/>
          <w:sz w:val="20"/>
          <w:szCs w:val="20"/>
          <w:lang w:bidi="he-IL"/>
        </w:rPr>
        <w:t xml:space="preserve"> = normalizace součtu dílčích vážených subkritérií nabídky hodnoceného účastníka.</w:t>
      </w:r>
    </w:p>
    <w:p w14:paraId="542FC8EC" w14:textId="77777777" w:rsidR="00C316A1" w:rsidRPr="008220CC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</w:p>
    <w:p w14:paraId="483BD5E8" w14:textId="77777777" w:rsidR="00C316A1" w:rsidRPr="008220CC" w:rsidRDefault="00C316A1" w:rsidP="006536A4">
      <w:pPr>
        <w:pStyle w:val="Odstavecseseznamem"/>
        <w:spacing w:line="240" w:lineRule="auto"/>
        <w:ind w:left="0"/>
        <w:rPr>
          <w:rFonts w:cs="Arial"/>
          <w:b/>
          <w:sz w:val="20"/>
          <w:szCs w:val="20"/>
        </w:rPr>
      </w:pPr>
      <w:r w:rsidRPr="008220CC">
        <w:rPr>
          <w:rFonts w:cs="Arial"/>
          <w:b/>
          <w:sz w:val="20"/>
          <w:szCs w:val="20"/>
        </w:rPr>
        <w:t>Celkové hodnocení ekonomické výhodnosti jednotlivých nabídek E:</w:t>
      </w:r>
    </w:p>
    <w:p w14:paraId="3A8A0CC2" w14:textId="77777777" w:rsidR="00C316A1" w:rsidRPr="008220CC" w:rsidRDefault="00C316A1" w:rsidP="006536A4">
      <w:pPr>
        <w:pStyle w:val="Odstavecseseznamem"/>
        <w:spacing w:line="240" w:lineRule="auto"/>
        <w:ind w:left="0"/>
        <w:rPr>
          <w:rFonts w:cs="Arial"/>
          <w:b/>
          <w:sz w:val="20"/>
          <w:szCs w:val="20"/>
        </w:rPr>
      </w:pPr>
    </w:p>
    <w:p w14:paraId="5D184265" w14:textId="77777777" w:rsidR="00C316A1" w:rsidRPr="008220CC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  <w:r w:rsidRPr="008220CC">
        <w:rPr>
          <w:rFonts w:cs="Arial"/>
          <w:b/>
          <w:sz w:val="20"/>
          <w:szCs w:val="20"/>
        </w:rPr>
        <w:t>Celkový počet bodů</w:t>
      </w:r>
      <w:r w:rsidRPr="008220CC">
        <w:rPr>
          <w:rFonts w:cs="Arial"/>
          <w:sz w:val="20"/>
          <w:szCs w:val="20"/>
        </w:rPr>
        <w:t xml:space="preserve"> získaný účastníkem (</w:t>
      </w:r>
      <w:r w:rsidRPr="008220CC">
        <w:rPr>
          <w:rFonts w:cs="Arial"/>
          <w:b/>
          <w:sz w:val="20"/>
          <w:szCs w:val="20"/>
        </w:rPr>
        <w:t>E</w:t>
      </w:r>
      <w:r w:rsidRPr="008220CC">
        <w:rPr>
          <w:rFonts w:cs="Arial"/>
          <w:sz w:val="20"/>
          <w:szCs w:val="20"/>
        </w:rPr>
        <w:t>)</w:t>
      </w:r>
    </w:p>
    <w:p w14:paraId="06B80751" w14:textId="77777777" w:rsidR="00C316A1" w:rsidRPr="008220CC" w:rsidRDefault="00C316A1" w:rsidP="006536A4">
      <w:pPr>
        <w:spacing w:line="240" w:lineRule="auto"/>
        <w:rPr>
          <w:rFonts w:cs="Arial"/>
          <w:b/>
          <w:sz w:val="20"/>
          <w:szCs w:val="20"/>
        </w:rPr>
      </w:pPr>
    </w:p>
    <w:p w14:paraId="5CFD741C" w14:textId="77777777" w:rsidR="00C316A1" w:rsidRPr="008220CC" w:rsidRDefault="00C316A1" w:rsidP="006536A4">
      <w:pPr>
        <w:spacing w:line="240" w:lineRule="auto"/>
        <w:rPr>
          <w:rFonts w:cs="Arial"/>
          <w:b/>
          <w:sz w:val="20"/>
          <w:szCs w:val="20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  <w:sz w:val="20"/>
              <w:szCs w:val="20"/>
            </w:rPr>
            <m:t>E=</m:t>
          </m:r>
          <m:f>
            <m:fPr>
              <m:ctrlPr>
                <w:rPr>
                  <w:rFonts w:ascii="Cambria Math" w:hAnsi="Cambria Math" w:cs="Arial"/>
                  <w:b/>
                  <w:sz w:val="20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60*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100</m:t>
              </m:r>
            </m:den>
          </m:f>
          <m:r>
            <m:rPr>
              <m:sty m:val="b"/>
            </m:rPr>
            <w:rPr>
              <w:rFonts w:ascii="Cambria Math" w:hAnsi="Cambria Math" w:cs="Arial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 w:cs="Arial"/>
                  <w:b/>
                  <w:sz w:val="20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40*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sz w:val="20"/>
                  <w:szCs w:val="20"/>
                </w:rPr>
                <m:t>100</m:t>
              </m:r>
            </m:den>
          </m:f>
        </m:oMath>
      </m:oMathPara>
    </w:p>
    <w:p w14:paraId="025C2D2B" w14:textId="77777777" w:rsidR="00C316A1" w:rsidRPr="008220CC" w:rsidRDefault="00C316A1" w:rsidP="006536A4">
      <w:pPr>
        <w:spacing w:line="240" w:lineRule="auto"/>
        <w:rPr>
          <w:rFonts w:cs="Arial"/>
          <w:b/>
          <w:sz w:val="20"/>
          <w:szCs w:val="20"/>
        </w:rPr>
      </w:pPr>
    </w:p>
    <w:p w14:paraId="253D79AE" w14:textId="77777777" w:rsidR="00C316A1" w:rsidRPr="008220CC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</w:p>
    <w:p w14:paraId="4271BE63" w14:textId="77777777" w:rsidR="00C316A1" w:rsidRPr="008220CC" w:rsidRDefault="00C316A1" w:rsidP="006536A4">
      <w:pPr>
        <w:spacing w:line="240" w:lineRule="auto"/>
        <w:jc w:val="both"/>
        <w:rPr>
          <w:rFonts w:cs="Arial"/>
          <w:b/>
          <w:bCs/>
          <w:sz w:val="20"/>
          <w:szCs w:val="20"/>
          <w:lang w:eastAsia="zh-CN"/>
        </w:rPr>
      </w:pPr>
      <w:r w:rsidRPr="008220CC">
        <w:rPr>
          <w:rFonts w:cs="Arial"/>
          <w:b/>
          <w:bCs/>
          <w:sz w:val="20"/>
          <w:szCs w:val="20"/>
          <w:lang w:eastAsia="zh-CN"/>
        </w:rPr>
        <w:t>Nejvhodnější nabídka je nabídka s nejvyšším počtem bodů.</w:t>
      </w:r>
    </w:p>
    <w:p w14:paraId="20A1B2F5" w14:textId="77777777" w:rsidR="00C316A1" w:rsidRPr="008220CC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</w:p>
    <w:p w14:paraId="765B366B" w14:textId="59944FC1" w:rsidR="00C316A1" w:rsidRPr="008220CC" w:rsidRDefault="00C316A1" w:rsidP="006536A4">
      <w:pPr>
        <w:spacing w:line="240" w:lineRule="auto"/>
        <w:jc w:val="both"/>
        <w:rPr>
          <w:rFonts w:cs="Arial"/>
          <w:sz w:val="20"/>
          <w:szCs w:val="20"/>
        </w:rPr>
      </w:pPr>
      <w:r w:rsidRPr="008220CC">
        <w:rPr>
          <w:rFonts w:cs="Arial"/>
          <w:sz w:val="20"/>
          <w:szCs w:val="20"/>
        </w:rPr>
        <w:t>Pr</w:t>
      </w:r>
      <w:r w:rsidR="006536A4">
        <w:rPr>
          <w:rFonts w:cs="Arial"/>
          <w:sz w:val="20"/>
          <w:szCs w:val="20"/>
        </w:rPr>
        <w:t>o</w:t>
      </w:r>
      <w:r w:rsidRPr="008220CC">
        <w:rPr>
          <w:rFonts w:cs="Arial"/>
          <w:sz w:val="20"/>
          <w:szCs w:val="20"/>
        </w:rPr>
        <w:t xml:space="preserve"> výpočet nejvýhodnější nabídky slouží zároveň </w:t>
      </w:r>
      <w:r w:rsidRPr="008220CC">
        <w:rPr>
          <w:rFonts w:cs="Arial"/>
          <w:b/>
          <w:sz w:val="20"/>
          <w:szCs w:val="20"/>
        </w:rPr>
        <w:t>Technická specifikace</w:t>
      </w:r>
      <w:r w:rsidRPr="008220CC">
        <w:rPr>
          <w:rFonts w:cs="Arial"/>
          <w:sz w:val="20"/>
          <w:szCs w:val="20"/>
        </w:rPr>
        <w:t xml:space="preserve"> (příloha č. 2 této zadávací dokumentace), která bude účastníky předložena jako součást jejich nabídky.</w:t>
      </w:r>
    </w:p>
    <w:bookmarkEnd w:id="19"/>
    <w:bookmarkEnd w:id="20"/>
    <w:p w14:paraId="299AD1C4" w14:textId="77777777" w:rsidR="00593FA1" w:rsidRPr="00593FA1" w:rsidRDefault="00593FA1" w:rsidP="006536A4">
      <w:pPr>
        <w:spacing w:after="12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336E078C" w14:textId="77777777" w:rsidR="00593FA1" w:rsidRPr="00593FA1" w:rsidRDefault="00593FA1" w:rsidP="006536A4">
      <w:pPr>
        <w:keepNext/>
        <w:keepLines/>
        <w:numPr>
          <w:ilvl w:val="0"/>
          <w:numId w:val="10"/>
        </w:numPr>
        <w:spacing w:before="240" w:line="240" w:lineRule="auto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593FA1">
        <w:rPr>
          <w:rFonts w:eastAsia="Times New Roman" w:cs="Arial"/>
          <w:b/>
          <w:sz w:val="20"/>
          <w:szCs w:val="20"/>
          <w:lang w:eastAsia="cs-CZ"/>
        </w:rPr>
        <w:t>Podmínky pro uzavření smlouvy</w:t>
      </w:r>
    </w:p>
    <w:p w14:paraId="1F245A4E" w14:textId="77777777" w:rsidR="00593FA1" w:rsidRPr="00593FA1" w:rsidRDefault="00593FA1" w:rsidP="006536A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0A93103" w14:textId="77777777" w:rsidR="00593FA1" w:rsidRPr="00593FA1" w:rsidRDefault="00593FA1" w:rsidP="006536A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požaduje, aby smlouva na plnění veřejné zakázky byla uzavřena elektronicky. K uzavření smlouvy je vyžadován zaručený elektronický podpis.</w:t>
      </w:r>
    </w:p>
    <w:p w14:paraId="05CA0F4B" w14:textId="77777777" w:rsidR="00593FA1" w:rsidRPr="00593FA1" w:rsidRDefault="00593FA1" w:rsidP="006536A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3B96380" w14:textId="77777777" w:rsidR="00593FA1" w:rsidRPr="00593FA1" w:rsidRDefault="00593FA1" w:rsidP="006536A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Vybraný dodavatel je v souladu s § 122 odst. 3 písm. a) ZZVZ povinen na výzvu zadavatele předložit originály nebo ověřené kopie dokladů o jeho kvalifikaci, pokud je již nemá zadavatel k dispozici. Tyto doklady mohou být již součástí nabídky účastníků.</w:t>
      </w:r>
    </w:p>
    <w:p w14:paraId="6A2AE244" w14:textId="77777777" w:rsidR="00593FA1" w:rsidRPr="00593FA1" w:rsidRDefault="00593FA1" w:rsidP="006536A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A373076" w14:textId="77777777" w:rsidR="00593FA1" w:rsidRPr="00593FA1" w:rsidRDefault="00593FA1" w:rsidP="006536A4">
      <w:pPr>
        <w:keepNext/>
        <w:keepLines/>
        <w:numPr>
          <w:ilvl w:val="0"/>
          <w:numId w:val="10"/>
        </w:numPr>
        <w:spacing w:before="240" w:line="240" w:lineRule="auto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593FA1">
        <w:rPr>
          <w:rFonts w:eastAsia="Times New Roman" w:cs="Arial"/>
          <w:b/>
          <w:sz w:val="20"/>
          <w:szCs w:val="20"/>
          <w:lang w:eastAsia="cs-CZ"/>
        </w:rPr>
        <w:t>Další podmínky zadávacího řízení</w:t>
      </w:r>
    </w:p>
    <w:p w14:paraId="024AC59C" w14:textId="77777777" w:rsidR="00593FA1" w:rsidRPr="00593FA1" w:rsidRDefault="00593FA1" w:rsidP="006536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8BA1A1" w14:textId="77777777" w:rsidR="00593FA1" w:rsidRPr="00593FA1" w:rsidRDefault="00593FA1" w:rsidP="006536A4">
      <w:pPr>
        <w:keepNext/>
        <w:keepLines/>
        <w:numPr>
          <w:ilvl w:val="0"/>
          <w:numId w:val="6"/>
        </w:numPr>
        <w:spacing w:line="240" w:lineRule="auto"/>
        <w:ind w:left="709"/>
        <w:contextualSpacing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Dodavatel může podat pouze jednu nabídku. </w:t>
      </w:r>
    </w:p>
    <w:p w14:paraId="4CC45A8F" w14:textId="77777777" w:rsidR="00593FA1" w:rsidRPr="00593FA1" w:rsidRDefault="00593FA1" w:rsidP="006536A4">
      <w:pPr>
        <w:keepNext/>
        <w:keepLines/>
        <w:numPr>
          <w:ilvl w:val="0"/>
          <w:numId w:val="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23D2EBD8" w14:textId="77777777" w:rsidR="00593FA1" w:rsidRPr="00593FA1" w:rsidRDefault="00593FA1" w:rsidP="006536A4">
      <w:pPr>
        <w:keepNext/>
        <w:keepLines/>
        <w:numPr>
          <w:ilvl w:val="0"/>
          <w:numId w:val="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§ 211 ZZVZ. </w:t>
      </w:r>
    </w:p>
    <w:p w14:paraId="6DAE8818" w14:textId="77777777" w:rsidR="00593FA1" w:rsidRPr="00593FA1" w:rsidRDefault="00593FA1" w:rsidP="006536A4">
      <w:pPr>
        <w:keepNext/>
        <w:keepLines/>
        <w:numPr>
          <w:ilvl w:val="0"/>
          <w:numId w:val="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5BA7FD9F" w14:textId="77777777" w:rsidR="00593FA1" w:rsidRPr="00593FA1" w:rsidRDefault="00593FA1" w:rsidP="006536A4">
      <w:pPr>
        <w:numPr>
          <w:ilvl w:val="0"/>
          <w:numId w:val="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56B9B52C" w14:textId="77777777" w:rsidR="00593FA1" w:rsidRPr="00593FA1" w:rsidRDefault="00593FA1" w:rsidP="006536A4">
      <w:pPr>
        <w:numPr>
          <w:ilvl w:val="0"/>
          <w:numId w:val="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2D682EDB" w14:textId="77777777" w:rsidR="00593FA1" w:rsidRPr="00593FA1" w:rsidRDefault="00593FA1" w:rsidP="006536A4">
      <w:pPr>
        <w:numPr>
          <w:ilvl w:val="0"/>
          <w:numId w:val="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Povinnost vybraného dodavatele spolupůsobit při výkonu kontroly dle zákona č. 320/2001 Sb., o finanční kontrole ve veřejné správě, ve znění pozdějších předpisů.</w:t>
      </w:r>
    </w:p>
    <w:p w14:paraId="10DA412F" w14:textId="77777777" w:rsidR="00593FA1" w:rsidRPr="00593FA1" w:rsidRDefault="00593FA1" w:rsidP="006536A4">
      <w:pPr>
        <w:numPr>
          <w:ilvl w:val="0"/>
          <w:numId w:val="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20034F57" w14:textId="77777777" w:rsidR="00593FA1" w:rsidRPr="00593FA1" w:rsidRDefault="00593FA1" w:rsidP="006536A4">
      <w:pPr>
        <w:numPr>
          <w:ilvl w:val="0"/>
          <w:numId w:val="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3A0776FA" w14:textId="77777777" w:rsidR="00593FA1" w:rsidRPr="00593FA1" w:rsidRDefault="00593FA1" w:rsidP="006536A4">
      <w:pPr>
        <w:numPr>
          <w:ilvl w:val="0"/>
          <w:numId w:val="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4B6C1B67" w14:textId="77777777" w:rsidR="00593FA1" w:rsidRPr="00593FA1" w:rsidRDefault="00593FA1" w:rsidP="006536A4">
      <w:pPr>
        <w:numPr>
          <w:ilvl w:val="0"/>
          <w:numId w:val="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může veřejnou zakázku zrušit v souladu s § 127 ZZVZ.</w:t>
      </w:r>
    </w:p>
    <w:p w14:paraId="0D641C4E" w14:textId="77777777" w:rsidR="00593FA1" w:rsidRPr="00593FA1" w:rsidRDefault="00593FA1" w:rsidP="006536A4">
      <w:pPr>
        <w:spacing w:line="240" w:lineRule="auto"/>
        <w:ind w:left="357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549EA6AA" w14:textId="77777777" w:rsidR="00593FA1" w:rsidRPr="00593FA1" w:rsidRDefault="00593FA1" w:rsidP="00593FA1">
      <w:pPr>
        <w:keepNext/>
        <w:keepLines/>
        <w:numPr>
          <w:ilvl w:val="0"/>
          <w:numId w:val="10"/>
        </w:numPr>
        <w:spacing w:before="240" w:line="240" w:lineRule="auto"/>
        <w:outlineLvl w:val="0"/>
        <w:rPr>
          <w:rFonts w:eastAsia="Times New Roman" w:cs="Arial"/>
          <w:b/>
          <w:sz w:val="20"/>
          <w:szCs w:val="20"/>
          <w:lang w:eastAsia="cs-CZ"/>
        </w:rPr>
      </w:pPr>
      <w:bookmarkStart w:id="21" w:name="_Toc365531869"/>
      <w:bookmarkStart w:id="22" w:name="_Toc371919940"/>
      <w:r w:rsidRPr="00593FA1">
        <w:rPr>
          <w:rFonts w:eastAsia="Times New Roman" w:cs="Arial"/>
          <w:b/>
          <w:sz w:val="20"/>
          <w:szCs w:val="20"/>
          <w:lang w:eastAsia="cs-CZ"/>
        </w:rPr>
        <w:t>Přílohy zadávací dokumentace</w:t>
      </w:r>
      <w:bookmarkEnd w:id="21"/>
      <w:bookmarkEnd w:id="22"/>
    </w:p>
    <w:p w14:paraId="656CA8CA" w14:textId="30FFF5A7" w:rsidR="00593FA1" w:rsidRPr="00593FA1" w:rsidRDefault="00593FA1" w:rsidP="00593FA1">
      <w:pPr>
        <w:tabs>
          <w:tab w:val="left" w:pos="1418"/>
        </w:tabs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Příloha č. 1: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Krycí list nabídky </w:t>
      </w:r>
    </w:p>
    <w:p w14:paraId="14942FD7" w14:textId="77777777" w:rsidR="00593FA1" w:rsidRPr="00593FA1" w:rsidRDefault="00593FA1" w:rsidP="00593FA1">
      <w:pPr>
        <w:tabs>
          <w:tab w:val="left" w:pos="993"/>
        </w:tabs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Příloha č. 2:</w:t>
      </w:r>
      <w:r w:rsidRPr="00593FA1">
        <w:rPr>
          <w:rFonts w:eastAsia="Times New Roman" w:cs="Arial"/>
          <w:sz w:val="20"/>
          <w:szCs w:val="20"/>
          <w:lang w:eastAsia="cs-CZ"/>
        </w:rPr>
        <w:tab/>
        <w:t>Technická specifikace</w:t>
      </w:r>
    </w:p>
    <w:p w14:paraId="13FC1882" w14:textId="77777777" w:rsidR="00593FA1" w:rsidRPr="00593FA1" w:rsidRDefault="00593FA1" w:rsidP="00593FA1">
      <w:pPr>
        <w:tabs>
          <w:tab w:val="left" w:pos="993"/>
        </w:tabs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Příloha č. 3:</w:t>
      </w:r>
      <w:r w:rsidRPr="00593FA1">
        <w:rPr>
          <w:rFonts w:eastAsia="Times New Roman" w:cs="Arial"/>
          <w:sz w:val="20"/>
          <w:szCs w:val="20"/>
          <w:lang w:eastAsia="cs-CZ"/>
        </w:rPr>
        <w:tab/>
        <w:t>Vzor čestného prohlášení</w:t>
      </w:r>
    </w:p>
    <w:p w14:paraId="4944FF0E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Příloha č. 4:</w:t>
      </w:r>
      <w:r w:rsidRPr="00593FA1">
        <w:rPr>
          <w:rFonts w:eastAsia="Times New Roman" w:cs="Arial"/>
          <w:sz w:val="20"/>
          <w:szCs w:val="20"/>
          <w:lang w:eastAsia="cs-CZ"/>
        </w:rPr>
        <w:tab/>
        <w:t>Obligatorní návrh smlouvy</w:t>
      </w:r>
    </w:p>
    <w:p w14:paraId="76F98F07" w14:textId="0D5AB13C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Příloha č. 5: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sz w:val="20"/>
          <w:szCs w:val="20"/>
          <w:lang w:eastAsia="cs-CZ"/>
        </w:rPr>
        <w:t>Rozklad nabídkové ceny</w:t>
      </w:r>
    </w:p>
    <w:p w14:paraId="5EF102AA" w14:textId="04E77691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Příloha č. 6:</w:t>
      </w:r>
      <w:r w:rsidRPr="00593FA1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sz w:val="20"/>
          <w:szCs w:val="20"/>
          <w:lang w:eastAsia="cs-CZ"/>
        </w:rPr>
        <w:t>Seznam významných dodávek</w:t>
      </w:r>
    </w:p>
    <w:p w14:paraId="5F002F2A" w14:textId="3CD61D8D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Příloha č. 7: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Vzor čestného prohlášení dodavatele k mezinárodním sankcím </w:t>
      </w:r>
    </w:p>
    <w:p w14:paraId="251E3E51" w14:textId="01E1F218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Příloha č. 8: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sz w:val="20"/>
          <w:szCs w:val="20"/>
          <w:lang w:eastAsia="cs-CZ"/>
        </w:rPr>
        <w:t>Požadavky na provedení a kvalitu ICT</w:t>
      </w:r>
    </w:p>
    <w:p w14:paraId="14497E06" w14:textId="6519D246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Příloha č. 9: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sz w:val="20"/>
          <w:szCs w:val="20"/>
          <w:lang w:eastAsia="cs-CZ"/>
        </w:rPr>
        <w:t>Dezinfekční program KZ, a.s.</w:t>
      </w:r>
    </w:p>
    <w:p w14:paraId="6274626D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5F0DCEC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457FDBD" w14:textId="77777777" w:rsidR="00593FA1" w:rsidRPr="00593FA1" w:rsidRDefault="00593FA1" w:rsidP="00593FA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EADF162" w14:textId="77777777" w:rsidR="00593FA1" w:rsidRPr="00593FA1" w:rsidRDefault="00593FA1" w:rsidP="00593FA1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2121F82" w14:textId="77777777" w:rsidR="00593FA1" w:rsidRPr="00593FA1" w:rsidRDefault="00593FA1" w:rsidP="00593FA1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13"/>
      <w:footerReference w:type="defaul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BB60" w14:textId="77777777" w:rsidR="00E9513A" w:rsidRDefault="00E9513A" w:rsidP="004A044C">
      <w:pPr>
        <w:spacing w:line="240" w:lineRule="auto"/>
      </w:pPr>
      <w:r>
        <w:separator/>
      </w:r>
    </w:p>
  </w:endnote>
  <w:endnote w:type="continuationSeparator" w:id="0">
    <w:p w14:paraId="3FD7EBD3" w14:textId="77777777" w:rsidR="00E9513A" w:rsidRDefault="00E9513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B686" w14:textId="77777777" w:rsidR="00E9513A" w:rsidRDefault="00E9513A" w:rsidP="004A044C">
      <w:pPr>
        <w:spacing w:line="240" w:lineRule="auto"/>
      </w:pPr>
      <w:r>
        <w:separator/>
      </w:r>
    </w:p>
  </w:footnote>
  <w:footnote w:type="continuationSeparator" w:id="0">
    <w:p w14:paraId="4DDAB785" w14:textId="77777777" w:rsidR="00E9513A" w:rsidRDefault="00E9513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50D396F8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593FA1">
      <w:rPr>
        <w:color w:val="A6A6A6"/>
        <w:sz w:val="16"/>
        <w:szCs w:val="16"/>
      </w:rPr>
      <w:tab/>
      <w:t xml:space="preserve">Stránka </w:t>
    </w:r>
    <w:r w:rsidRPr="00593FA1">
      <w:rPr>
        <w:b/>
        <w:bCs/>
        <w:color w:val="A6A6A6"/>
        <w:sz w:val="16"/>
        <w:szCs w:val="16"/>
      </w:rPr>
      <w:fldChar w:fldCharType="begin"/>
    </w:r>
    <w:r w:rsidRPr="00593FA1">
      <w:rPr>
        <w:b/>
        <w:bCs/>
        <w:color w:val="A6A6A6"/>
        <w:sz w:val="16"/>
        <w:szCs w:val="16"/>
      </w:rPr>
      <w:instrText>PAGE  \* Arabic  \* MERGEFORMAT</w:instrText>
    </w:r>
    <w:r w:rsidRPr="00593FA1">
      <w:rPr>
        <w:b/>
        <w:bCs/>
        <w:color w:val="A6A6A6"/>
        <w:sz w:val="16"/>
        <w:szCs w:val="16"/>
      </w:rPr>
      <w:fldChar w:fldCharType="separate"/>
    </w:r>
    <w:r w:rsidR="004B4477">
      <w:rPr>
        <w:b/>
        <w:bCs/>
        <w:noProof/>
        <w:color w:val="A6A6A6"/>
        <w:sz w:val="16"/>
        <w:szCs w:val="16"/>
      </w:rPr>
      <w:t>9</w:t>
    </w:r>
    <w:r w:rsidRPr="00593FA1">
      <w:rPr>
        <w:b/>
        <w:bCs/>
        <w:color w:val="A6A6A6"/>
        <w:sz w:val="16"/>
        <w:szCs w:val="16"/>
      </w:rPr>
      <w:fldChar w:fldCharType="end"/>
    </w:r>
    <w:r w:rsidRPr="00593FA1">
      <w:rPr>
        <w:color w:val="A6A6A6"/>
        <w:sz w:val="16"/>
        <w:szCs w:val="16"/>
      </w:rPr>
      <w:t xml:space="preserve"> z </w:t>
    </w:r>
    <w:r w:rsidRPr="00593FA1">
      <w:rPr>
        <w:b/>
        <w:bCs/>
        <w:color w:val="A6A6A6"/>
        <w:sz w:val="16"/>
        <w:szCs w:val="16"/>
      </w:rPr>
      <w:fldChar w:fldCharType="begin"/>
    </w:r>
    <w:r w:rsidRPr="00593FA1">
      <w:rPr>
        <w:b/>
        <w:bCs/>
        <w:color w:val="A6A6A6"/>
        <w:sz w:val="16"/>
        <w:szCs w:val="16"/>
      </w:rPr>
      <w:instrText>NUMPAGES  \* Arabic  \* MERGEFORMAT</w:instrText>
    </w:r>
    <w:r w:rsidRPr="00593FA1">
      <w:rPr>
        <w:b/>
        <w:bCs/>
        <w:color w:val="A6A6A6"/>
        <w:sz w:val="16"/>
        <w:szCs w:val="16"/>
      </w:rPr>
      <w:fldChar w:fldCharType="separate"/>
    </w:r>
    <w:r w:rsidR="004B4477">
      <w:rPr>
        <w:b/>
        <w:bCs/>
        <w:noProof/>
        <w:color w:val="A6A6A6"/>
        <w:sz w:val="16"/>
        <w:szCs w:val="16"/>
      </w:rPr>
      <w:t>9</w:t>
    </w:r>
    <w:r w:rsidRPr="00593FA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5EE2"/>
    <w:multiLevelType w:val="hybridMultilevel"/>
    <w:tmpl w:val="A246CFB8"/>
    <w:lvl w:ilvl="0" w:tplc="2608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2484"/>
    <w:multiLevelType w:val="multilevel"/>
    <w:tmpl w:val="D15E7D18"/>
    <w:lvl w:ilvl="0">
      <w:start w:val="1"/>
      <w:numFmt w:val="decimal"/>
      <w:lvlText w:val="%1"/>
      <w:lvlJc w:val="left"/>
      <w:pPr>
        <w:ind w:left="858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A5D5E"/>
    <w:multiLevelType w:val="hybridMultilevel"/>
    <w:tmpl w:val="32E00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5451A"/>
    <w:multiLevelType w:val="multilevel"/>
    <w:tmpl w:val="8A2059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45115B56"/>
    <w:multiLevelType w:val="multilevel"/>
    <w:tmpl w:val="78D4B9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52144F3"/>
    <w:multiLevelType w:val="hybridMultilevel"/>
    <w:tmpl w:val="767CFC90"/>
    <w:lvl w:ilvl="0" w:tplc="D8A6F53A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C1641"/>
    <w:multiLevelType w:val="hybridMultilevel"/>
    <w:tmpl w:val="F22C2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1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9"/>
  </w:num>
  <w:num w:numId="12">
    <w:abstractNumId w:val="1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2437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7631B"/>
    <w:rsid w:val="001C39F1"/>
    <w:rsid w:val="001E3FEB"/>
    <w:rsid w:val="00240FFA"/>
    <w:rsid w:val="00241EAC"/>
    <w:rsid w:val="00260DDE"/>
    <w:rsid w:val="0026591C"/>
    <w:rsid w:val="002B6A69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B4477"/>
    <w:rsid w:val="004C6686"/>
    <w:rsid w:val="00507B10"/>
    <w:rsid w:val="00540947"/>
    <w:rsid w:val="00556E59"/>
    <w:rsid w:val="00580EDE"/>
    <w:rsid w:val="00587ACF"/>
    <w:rsid w:val="00593FA1"/>
    <w:rsid w:val="005964DC"/>
    <w:rsid w:val="005B402A"/>
    <w:rsid w:val="005C64DB"/>
    <w:rsid w:val="005E3326"/>
    <w:rsid w:val="0062594F"/>
    <w:rsid w:val="006536A4"/>
    <w:rsid w:val="00657FE1"/>
    <w:rsid w:val="006C53A2"/>
    <w:rsid w:val="006E2395"/>
    <w:rsid w:val="006F2635"/>
    <w:rsid w:val="0071483B"/>
    <w:rsid w:val="00715FCD"/>
    <w:rsid w:val="007408DB"/>
    <w:rsid w:val="007476D3"/>
    <w:rsid w:val="007A41E9"/>
    <w:rsid w:val="00824631"/>
    <w:rsid w:val="008650CD"/>
    <w:rsid w:val="00867EE4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316A1"/>
    <w:rsid w:val="00C43D5E"/>
    <w:rsid w:val="00C674F9"/>
    <w:rsid w:val="00C7652B"/>
    <w:rsid w:val="00CC227C"/>
    <w:rsid w:val="00CE2490"/>
    <w:rsid w:val="00D134CE"/>
    <w:rsid w:val="00D21F38"/>
    <w:rsid w:val="00D22279"/>
    <w:rsid w:val="00D271E1"/>
    <w:rsid w:val="00D47E6C"/>
    <w:rsid w:val="00D7639E"/>
    <w:rsid w:val="00D9237F"/>
    <w:rsid w:val="00DA7C3E"/>
    <w:rsid w:val="00DE56F9"/>
    <w:rsid w:val="00E01B24"/>
    <w:rsid w:val="00E1346F"/>
    <w:rsid w:val="00E3756C"/>
    <w:rsid w:val="00E87CBA"/>
    <w:rsid w:val="00E94005"/>
    <w:rsid w:val="00E9513A"/>
    <w:rsid w:val="00EE60B1"/>
    <w:rsid w:val="00F37091"/>
    <w:rsid w:val="00F42484"/>
    <w:rsid w:val="00FA3695"/>
    <w:rsid w:val="00FE4587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qFormat/>
    <w:locked/>
    <w:rsid w:val="00C316A1"/>
    <w:rPr>
      <w:rFonts w:ascii="Arial" w:hAnsi="Arial"/>
      <w:sz w:val="18"/>
      <w:lang w:bidi="he-IL"/>
    </w:rPr>
  </w:style>
  <w:style w:type="character" w:styleId="Hypertextovodkaz">
    <w:name w:val="Hyperlink"/>
    <w:basedOn w:val="Standardnpsmoodstavce"/>
    <w:uiPriority w:val="99"/>
    <w:unhideWhenUsed/>
    <w:rsid w:val="00587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odbornici/informace-pro-projektant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zcr.e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pora@ezak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azky.kzcr.eu/test_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BFADE-57D9-4B52-967E-CAF59032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3243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2025-06-11T07:55:00Z</dcterms:created>
  <dcterms:modified xsi:type="dcterms:W3CDTF">2025-06-11T10:20:00Z</dcterms:modified>
</cp:coreProperties>
</file>