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Zřízení dětské skupiny, Krajská zdravotní, a.s. – Nemocnice Litoměřice, </w:t>
      </w:r>
      <w:proofErr w:type="spellStart"/>
      <w:proofErr w:type="gramStart"/>
      <w:r>
        <w:rPr>
          <w:b/>
          <w:sz w:val="20"/>
          <w:szCs w:val="20"/>
        </w:rPr>
        <w:t>o.z</w:t>
      </w:r>
      <w:proofErr w:type="spellEnd"/>
      <w:r>
        <w:rPr>
          <w:b/>
          <w:sz w:val="20"/>
          <w:szCs w:val="20"/>
        </w:rPr>
        <w:t>. – stavební</w:t>
      </w:r>
      <w:proofErr w:type="gramEnd"/>
      <w:r>
        <w:rPr>
          <w:b/>
          <w:sz w:val="20"/>
          <w:szCs w:val="20"/>
        </w:rPr>
        <w:t xml:space="preserve"> práce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B897-BFDE-4A81-AD00-2C39FA84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2025-06-03T09:34:00Z</dcterms:created>
  <dcterms:modified xsi:type="dcterms:W3CDTF">2025-06-03T09:34:00Z</dcterms:modified>
</cp:coreProperties>
</file>