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3F3D" w14:textId="77777777" w:rsidR="00396B0E" w:rsidRPr="00396B0E" w:rsidRDefault="00396B0E" w:rsidP="00396B0E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396B0E">
        <w:rPr>
          <w:rFonts w:eastAsia="Times New Roman" w:cs="Arial"/>
          <w:b/>
          <w:sz w:val="24"/>
          <w:szCs w:val="24"/>
          <w:lang w:eastAsia="cs-CZ"/>
        </w:rPr>
        <w:t>Systém krátkodobé katétrové srdeční podpory</w:t>
      </w:r>
    </w:p>
    <w:p w14:paraId="38AE026B" w14:textId="77777777" w:rsidR="00396B0E" w:rsidRPr="00396B0E" w:rsidRDefault="00396B0E" w:rsidP="00396B0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32690FB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396B0E">
        <w:rPr>
          <w:rFonts w:eastAsia="Times New Roman" w:cs="Arial"/>
          <w:sz w:val="20"/>
          <w:szCs w:val="20"/>
          <w:u w:val="single"/>
          <w:lang w:eastAsia="cs-CZ"/>
        </w:rPr>
        <w:t>Seznam požadovaných položek:</w:t>
      </w:r>
    </w:p>
    <w:p w14:paraId="6994C4EC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0B53867A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1 ks ………. Kardiologická klinika, Masarykova nemocnice v Ústí nad Labem, o.z.</w:t>
      </w:r>
    </w:p>
    <w:p w14:paraId="1E5AA9A6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1 ks …..Kardiochirurgická klinika a Kardioanesteziologické oddělení, Masarykova nemocnice v Ústí nad Labem, o.z.</w:t>
      </w:r>
    </w:p>
    <w:p w14:paraId="172B090B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396B0E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6906A643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3F254C2E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sytém srdeční podpory je určen pro léčbu snížené funkce levé komory srdeční při kardiogenním šoku</w:t>
      </w:r>
    </w:p>
    <w:p w14:paraId="14E85382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lze použít jako protekci při vysoce rizikové koronární intervenci nebo jako podporu po koronární intervenci</w:t>
      </w:r>
    </w:p>
    <w:p w14:paraId="2FD8710D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se musí skládat z katetru zavedeného do těla pacienta a řídící jednotky, která se nachází mimo tělo pacienta. Propojení katetru a řídící jednotky musí být pomocí optického kabelu</w:t>
      </w:r>
    </w:p>
    <w:p w14:paraId="1D75DCDC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musí být vybaven optickým senzorem měření aortálního tlaku a schopen indikovat hodnotu levokomorového tlaku</w:t>
      </w:r>
    </w:p>
    <w:p w14:paraId="4DA6B54B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řídící jednotka musí umět zobrazovat hemodynamické trendy pro odvykání pacienta z podpory</w:t>
      </w:r>
    </w:p>
    <w:p w14:paraId="0F85E221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musí splňovat CE i FDA certifikaci</w:t>
      </w:r>
    </w:p>
    <w:p w14:paraId="1E40C456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certifikovaná doba použití systému musí být minimálně 4 dny</w:t>
      </w:r>
    </w:p>
    <w:p w14:paraId="35B8E17F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doba použitelnosti setu pro krátkodobou srdeční mechanickou podporu musí být minimálně 12 měsíců od dodání</w:t>
      </w:r>
    </w:p>
    <w:p w14:paraId="10AF9F34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dodavatel zajistí bezplatně přítomnost školeného technika (konzultanta) při každé implantaci dodaného předmětu plnění a při všech ambulantních kontrolách dle požadavků pracoviště (včetně časového termínu)</w:t>
      </w:r>
    </w:p>
    <w:p w14:paraId="3C7B4E1B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dodavatel zajistí bezplatnou a nepřetržitou možnost přímé telefonické konzultace klinického nebo technického problému se zástupcem účastníka</w:t>
      </w:r>
    </w:p>
    <w:p w14:paraId="61702ED5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396B0E">
        <w:rPr>
          <w:rFonts w:eastAsia="Calibri" w:cs="Arial"/>
          <w:sz w:val="20"/>
          <w:szCs w:val="20"/>
          <w:u w:val="single"/>
        </w:rPr>
        <w:t>Požadovány jsou velikosti katetru:</w:t>
      </w:r>
    </w:p>
    <w:p w14:paraId="27C19718" w14:textId="77777777" w:rsidR="00396B0E" w:rsidRPr="00396B0E" w:rsidRDefault="00396B0E" w:rsidP="00396B0E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  <w:u w:val="single"/>
        </w:rPr>
      </w:pPr>
      <w:r w:rsidRPr="00396B0E">
        <w:rPr>
          <w:rFonts w:eastAsia="Calibri" w:cs="Arial"/>
          <w:sz w:val="20"/>
          <w:szCs w:val="20"/>
          <w:u w:val="single"/>
        </w:rPr>
        <w:t>Typ 1:</w:t>
      </w:r>
    </w:p>
    <w:p w14:paraId="48CE34E8" w14:textId="77777777" w:rsidR="00396B0E" w:rsidRPr="00396B0E" w:rsidRDefault="00396B0E" w:rsidP="00396B0E">
      <w:pPr>
        <w:numPr>
          <w:ilvl w:val="2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musí generovat průtok minimálně 5.5 l/min. pomocí mikroaxiálního čerpadla, prostřednictvím maximálně 21Fr katetru zavedeného transaxiálně do transaortární pozice</w:t>
      </w:r>
    </w:p>
    <w:p w14:paraId="29D0832C" w14:textId="77777777" w:rsidR="00396B0E" w:rsidRPr="00396B0E" w:rsidRDefault="00396B0E" w:rsidP="00396B0E">
      <w:pPr>
        <w:numPr>
          <w:ilvl w:val="1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  <w:u w:val="single"/>
        </w:rPr>
        <w:t>Typ 2:</w:t>
      </w:r>
    </w:p>
    <w:p w14:paraId="3F44EF20" w14:textId="77777777" w:rsidR="00396B0E" w:rsidRPr="00396B0E" w:rsidRDefault="00396B0E" w:rsidP="00396B0E">
      <w:pPr>
        <w:numPr>
          <w:ilvl w:val="2"/>
          <w:numId w:val="3"/>
        </w:numPr>
        <w:spacing w:after="200" w:line="276" w:lineRule="auto"/>
        <w:contextualSpacing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systém musí generovat průtok minimálně 3.0 l/min. pomocí mikroaxiálního čerpadla, prostřednictvím maximálně 14Fr katetru zavedeného trasfemorálně nebo transaxiálně do transaortární pozice</w:t>
      </w:r>
    </w:p>
    <w:p w14:paraId="529664AF" w14:textId="77777777" w:rsidR="00396B0E" w:rsidRPr="00396B0E" w:rsidRDefault="00396B0E" w:rsidP="00396B0E">
      <w:pPr>
        <w:numPr>
          <w:ilvl w:val="2"/>
          <w:numId w:val="3"/>
        </w:numPr>
        <w:spacing w:after="200" w:line="276" w:lineRule="auto"/>
        <w:contextualSpacing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katetr srdeční podpory musí disponovat in-line integrovaným repozičním zavaděčem s možností zavedení vodicího drátu až do velikosti 0.035“ jeho postranním vstupem</w:t>
      </w:r>
    </w:p>
    <w:p w14:paraId="6EA1610B" w14:textId="77777777" w:rsidR="00396B0E" w:rsidRPr="00396B0E" w:rsidRDefault="00396B0E" w:rsidP="00396B0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396B0E">
        <w:rPr>
          <w:rFonts w:eastAsia="Calibri" w:cs="Arial"/>
          <w:sz w:val="20"/>
          <w:szCs w:val="20"/>
        </w:rPr>
        <w:t>součástí dodávky je veškeré příslušenství nutné pro uvedení do provozu</w:t>
      </w:r>
    </w:p>
    <w:p w14:paraId="4014CA2C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396B0E">
        <w:rPr>
          <w:rFonts w:eastAsia="Times New Roman" w:cs="Arial"/>
          <w:sz w:val="20"/>
          <w:szCs w:val="20"/>
          <w:u w:val="single"/>
          <w:lang w:eastAsia="cs-CZ"/>
        </w:rPr>
        <w:t>Předpokládaný odběr setu pro krátkodobou srdeční mechanickou podporu:</w:t>
      </w:r>
    </w:p>
    <w:p w14:paraId="789CD877" w14:textId="77777777" w:rsidR="00396B0E" w:rsidRPr="00396B0E" w:rsidRDefault="00396B0E" w:rsidP="00396B0E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tbl>
      <w:tblPr>
        <w:tblStyle w:val="Mkatabulky1"/>
        <w:tblW w:w="10272" w:type="dxa"/>
        <w:tblInd w:w="-5" w:type="dxa"/>
        <w:tblLook w:val="04A0" w:firstRow="1" w:lastRow="0" w:firstColumn="1" w:lastColumn="0" w:noHBand="0" w:noVBand="1"/>
      </w:tblPr>
      <w:tblGrid>
        <w:gridCol w:w="1383"/>
        <w:gridCol w:w="5652"/>
        <w:gridCol w:w="1547"/>
        <w:gridCol w:w="1690"/>
      </w:tblGrid>
      <w:tr w:rsidR="00396B0E" w:rsidRPr="00396B0E" w14:paraId="7E1EA34A" w14:textId="77777777" w:rsidTr="004C39AD">
        <w:trPr>
          <w:trHeight w:val="144"/>
        </w:trPr>
        <w:tc>
          <w:tcPr>
            <w:tcW w:w="1383" w:type="dxa"/>
            <w:vAlign w:val="center"/>
          </w:tcPr>
          <w:p w14:paraId="34294F4F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</w:p>
        </w:tc>
        <w:tc>
          <w:tcPr>
            <w:tcW w:w="8889" w:type="dxa"/>
            <w:gridSpan w:val="3"/>
            <w:vAlign w:val="center"/>
          </w:tcPr>
          <w:p w14:paraId="2FD449C4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b/>
                <w:kern w:val="3"/>
                <w:sz w:val="22"/>
              </w:rPr>
            </w:pPr>
            <w:r w:rsidRPr="00396B0E">
              <w:rPr>
                <w:rFonts w:eastAsia="Calibri" w:cs="Arial"/>
                <w:b/>
                <w:kern w:val="3"/>
                <w:sz w:val="22"/>
              </w:rPr>
              <w:t>Předpokládaný počet ks za rok</w:t>
            </w:r>
          </w:p>
        </w:tc>
      </w:tr>
      <w:tr w:rsidR="00396B0E" w:rsidRPr="00396B0E" w14:paraId="24D365AF" w14:textId="77777777" w:rsidTr="004C39AD">
        <w:trPr>
          <w:trHeight w:val="150"/>
        </w:trPr>
        <w:tc>
          <w:tcPr>
            <w:tcW w:w="1383" w:type="dxa"/>
            <w:vMerge w:val="restart"/>
            <w:vAlign w:val="center"/>
          </w:tcPr>
          <w:p w14:paraId="786B4BD6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Kompletní sada výše uvedených součástí srdeční pumpy</w:t>
            </w:r>
          </w:p>
        </w:tc>
        <w:tc>
          <w:tcPr>
            <w:tcW w:w="5652" w:type="dxa"/>
            <w:vAlign w:val="center"/>
          </w:tcPr>
          <w:p w14:paraId="4749379E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Pracoviště</w:t>
            </w:r>
          </w:p>
        </w:tc>
        <w:tc>
          <w:tcPr>
            <w:tcW w:w="1547" w:type="dxa"/>
            <w:vAlign w:val="center"/>
          </w:tcPr>
          <w:p w14:paraId="5EE7915F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Typ katetru č.1</w:t>
            </w:r>
          </w:p>
        </w:tc>
        <w:tc>
          <w:tcPr>
            <w:tcW w:w="1690" w:type="dxa"/>
            <w:vAlign w:val="center"/>
          </w:tcPr>
          <w:p w14:paraId="74C0D5B5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Typ katetru č. 2</w:t>
            </w:r>
          </w:p>
        </w:tc>
      </w:tr>
      <w:tr w:rsidR="00396B0E" w:rsidRPr="00396B0E" w14:paraId="1F6FBAEF" w14:textId="77777777" w:rsidTr="004C39AD">
        <w:trPr>
          <w:trHeight w:val="288"/>
        </w:trPr>
        <w:tc>
          <w:tcPr>
            <w:tcW w:w="1383" w:type="dxa"/>
            <w:vMerge/>
            <w:vAlign w:val="center"/>
          </w:tcPr>
          <w:p w14:paraId="5CF0B7D3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</w:p>
        </w:tc>
        <w:tc>
          <w:tcPr>
            <w:tcW w:w="5652" w:type="dxa"/>
            <w:vAlign w:val="center"/>
          </w:tcPr>
          <w:p w14:paraId="19C8FDE9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Kardiologie MNUL</w:t>
            </w:r>
          </w:p>
        </w:tc>
        <w:tc>
          <w:tcPr>
            <w:tcW w:w="1547" w:type="dxa"/>
            <w:vAlign w:val="center"/>
          </w:tcPr>
          <w:p w14:paraId="4EC18878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0</w:t>
            </w:r>
          </w:p>
          <w:p w14:paraId="719D3F9A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</w:p>
        </w:tc>
        <w:tc>
          <w:tcPr>
            <w:tcW w:w="1690" w:type="dxa"/>
            <w:vAlign w:val="center"/>
          </w:tcPr>
          <w:p w14:paraId="389DF93F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20</w:t>
            </w:r>
          </w:p>
        </w:tc>
      </w:tr>
      <w:tr w:rsidR="00396B0E" w:rsidRPr="00396B0E" w14:paraId="7978522F" w14:textId="77777777" w:rsidTr="004C39AD">
        <w:trPr>
          <w:trHeight w:val="362"/>
        </w:trPr>
        <w:tc>
          <w:tcPr>
            <w:tcW w:w="1383" w:type="dxa"/>
            <w:vMerge/>
            <w:vAlign w:val="center"/>
          </w:tcPr>
          <w:p w14:paraId="1C631C86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</w:p>
        </w:tc>
        <w:tc>
          <w:tcPr>
            <w:tcW w:w="5652" w:type="dxa"/>
            <w:vAlign w:val="center"/>
          </w:tcPr>
          <w:p w14:paraId="2149EEEA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KCH a Kardioanesteziologie MNUL</w:t>
            </w:r>
          </w:p>
        </w:tc>
        <w:tc>
          <w:tcPr>
            <w:tcW w:w="1547" w:type="dxa"/>
            <w:vAlign w:val="center"/>
          </w:tcPr>
          <w:p w14:paraId="2C5F3D42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10</w:t>
            </w:r>
          </w:p>
        </w:tc>
        <w:tc>
          <w:tcPr>
            <w:tcW w:w="1690" w:type="dxa"/>
            <w:vAlign w:val="center"/>
          </w:tcPr>
          <w:p w14:paraId="5CBDD3EF" w14:textId="77777777" w:rsidR="00396B0E" w:rsidRPr="00396B0E" w:rsidRDefault="00396B0E" w:rsidP="00396B0E">
            <w:pPr>
              <w:suppressAutoHyphens/>
              <w:autoSpaceDN w:val="0"/>
              <w:spacing w:before="6" w:line="240" w:lineRule="auto"/>
              <w:jc w:val="center"/>
              <w:textAlignment w:val="baseline"/>
              <w:rPr>
                <w:rFonts w:eastAsia="Calibri" w:cs="Arial"/>
                <w:kern w:val="3"/>
                <w:sz w:val="22"/>
              </w:rPr>
            </w:pPr>
            <w:r w:rsidRPr="00396B0E">
              <w:rPr>
                <w:rFonts w:eastAsia="Calibri" w:cs="Arial"/>
                <w:kern w:val="3"/>
                <w:sz w:val="22"/>
              </w:rPr>
              <w:t>0</w:t>
            </w:r>
          </w:p>
        </w:tc>
      </w:tr>
    </w:tbl>
    <w:p w14:paraId="1F8B0848" w14:textId="77777777" w:rsidR="00932EB1" w:rsidRPr="00C7652B" w:rsidRDefault="00932EB1" w:rsidP="00396B0E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09DB" w14:textId="77777777" w:rsidR="00BF6AF0" w:rsidRDefault="00BF6AF0" w:rsidP="004A044C">
      <w:pPr>
        <w:spacing w:line="240" w:lineRule="auto"/>
      </w:pPr>
      <w:r>
        <w:separator/>
      </w:r>
    </w:p>
  </w:endnote>
  <w:endnote w:type="continuationSeparator" w:id="0">
    <w:p w14:paraId="7CBA2EAD" w14:textId="77777777" w:rsidR="00BF6AF0" w:rsidRDefault="00BF6AF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17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6EC8ED" wp14:editId="591F284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816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CAACE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B1730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EC8E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2E816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CAACE1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FB1730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581EB5" wp14:editId="1E9EB81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C00C" wp14:editId="731956D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35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1C5B50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8BE20F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9C00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6435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1C5B50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8BE20F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253EB6" wp14:editId="65E3A66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542F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5A704C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36E2B44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53EB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7C542F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5A704C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36E2B44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73B8E6" wp14:editId="178936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FFC29B" wp14:editId="3FD96AE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6069" w14:textId="77777777" w:rsidR="00BF6AF0" w:rsidRDefault="00BF6AF0" w:rsidP="004A044C">
      <w:pPr>
        <w:spacing w:line="240" w:lineRule="auto"/>
      </w:pPr>
      <w:r>
        <w:separator/>
      </w:r>
    </w:p>
  </w:footnote>
  <w:footnote w:type="continuationSeparator" w:id="0">
    <w:p w14:paraId="39067ED4" w14:textId="77777777" w:rsidR="00BF6AF0" w:rsidRDefault="00BF6AF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B87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96B0E">
      <w:rPr>
        <w:color w:val="A6A6A6"/>
        <w:sz w:val="16"/>
        <w:szCs w:val="16"/>
      </w:rPr>
      <w:tab/>
      <w:t xml:space="preserve">Stránka </w:t>
    </w:r>
    <w:r w:rsidRPr="00396B0E">
      <w:rPr>
        <w:b/>
        <w:bCs/>
        <w:color w:val="A6A6A6"/>
        <w:sz w:val="16"/>
        <w:szCs w:val="16"/>
      </w:rPr>
      <w:fldChar w:fldCharType="begin"/>
    </w:r>
    <w:r w:rsidRPr="00396B0E">
      <w:rPr>
        <w:b/>
        <w:bCs/>
        <w:color w:val="A6A6A6"/>
        <w:sz w:val="16"/>
        <w:szCs w:val="16"/>
      </w:rPr>
      <w:instrText>PAGE  \* Arabic  \* MERGEFORMAT</w:instrText>
    </w:r>
    <w:r w:rsidRPr="00396B0E">
      <w:rPr>
        <w:b/>
        <w:bCs/>
        <w:color w:val="A6A6A6"/>
        <w:sz w:val="16"/>
        <w:szCs w:val="16"/>
      </w:rPr>
      <w:fldChar w:fldCharType="separate"/>
    </w:r>
    <w:r w:rsidRPr="00396B0E">
      <w:rPr>
        <w:b/>
        <w:bCs/>
        <w:color w:val="A6A6A6"/>
        <w:sz w:val="16"/>
        <w:szCs w:val="16"/>
      </w:rPr>
      <w:t>1</w:t>
    </w:r>
    <w:r w:rsidRPr="00396B0E">
      <w:rPr>
        <w:b/>
        <w:bCs/>
        <w:color w:val="A6A6A6"/>
        <w:sz w:val="16"/>
        <w:szCs w:val="16"/>
      </w:rPr>
      <w:fldChar w:fldCharType="end"/>
    </w:r>
    <w:r w:rsidRPr="00396B0E">
      <w:rPr>
        <w:color w:val="A6A6A6"/>
        <w:sz w:val="16"/>
        <w:szCs w:val="16"/>
      </w:rPr>
      <w:t xml:space="preserve"> z </w:t>
    </w:r>
    <w:r w:rsidRPr="00396B0E">
      <w:rPr>
        <w:b/>
        <w:bCs/>
        <w:color w:val="A6A6A6"/>
        <w:sz w:val="16"/>
        <w:szCs w:val="16"/>
      </w:rPr>
      <w:fldChar w:fldCharType="begin"/>
    </w:r>
    <w:r w:rsidRPr="00396B0E">
      <w:rPr>
        <w:b/>
        <w:bCs/>
        <w:color w:val="A6A6A6"/>
        <w:sz w:val="16"/>
        <w:szCs w:val="16"/>
      </w:rPr>
      <w:instrText>NUMPAGES  \* Arabic  \* MERGEFORMAT</w:instrText>
    </w:r>
    <w:r w:rsidRPr="00396B0E">
      <w:rPr>
        <w:b/>
        <w:bCs/>
        <w:color w:val="A6A6A6"/>
        <w:sz w:val="16"/>
        <w:szCs w:val="16"/>
      </w:rPr>
      <w:fldChar w:fldCharType="separate"/>
    </w:r>
    <w:r w:rsidRPr="00396B0E">
      <w:rPr>
        <w:b/>
        <w:bCs/>
        <w:color w:val="A6A6A6"/>
        <w:sz w:val="16"/>
        <w:szCs w:val="16"/>
      </w:rPr>
      <w:t>1</w:t>
    </w:r>
    <w:r w:rsidRPr="00396B0E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9316991" wp14:editId="67ABB2C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F61A44" wp14:editId="3C5A6F5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96B0E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AF0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E69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customStyle="1" w:styleId="Mkatabulky1">
    <w:name w:val="Mřížka tabulky1"/>
    <w:basedOn w:val="Normlntabulka"/>
    <w:next w:val="Mkatabulky"/>
    <w:uiPriority w:val="39"/>
    <w:rsid w:val="0039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39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2025-05-14T05:55:00Z</dcterms:created>
  <dcterms:modified xsi:type="dcterms:W3CDTF">2025-05-28T06:14:00Z</dcterms:modified>
</cp:coreProperties>
</file>