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53B3E" w14:textId="77777777" w:rsidR="003743D8" w:rsidRPr="00BF7FED" w:rsidRDefault="003743D8">
      <w:pPr>
        <w:jc w:val="center"/>
        <w:rPr>
          <w:rFonts w:eastAsiaTheme="minorEastAsia"/>
          <w:b/>
          <w:sz w:val="20"/>
          <w:szCs w:val="20"/>
        </w:rPr>
      </w:pPr>
    </w:p>
    <w:p w14:paraId="072E747F" w14:textId="77777777" w:rsidR="003743D8" w:rsidRPr="00BF7FED" w:rsidRDefault="003743D8">
      <w:pPr>
        <w:rPr>
          <w:b/>
          <w:sz w:val="20"/>
          <w:szCs w:val="20"/>
        </w:rPr>
      </w:pPr>
    </w:p>
    <w:p w14:paraId="26427EF1" w14:textId="2168A381" w:rsidR="003743D8" w:rsidRPr="00BF7FED" w:rsidRDefault="00395F99" w:rsidP="000855FF">
      <w:pPr>
        <w:jc w:val="center"/>
        <w:rPr>
          <w:b/>
          <w:sz w:val="20"/>
          <w:szCs w:val="20"/>
        </w:rPr>
      </w:pPr>
      <w:r>
        <w:rPr>
          <w:b/>
          <w:sz w:val="28"/>
          <w:szCs w:val="28"/>
        </w:rPr>
        <w:t>Analyzátor</w:t>
      </w:r>
      <w:r w:rsidR="000855FF" w:rsidRPr="00BF7FED">
        <w:rPr>
          <w:b/>
          <w:sz w:val="28"/>
          <w:szCs w:val="28"/>
        </w:rPr>
        <w:t xml:space="preserve"> pro </w:t>
      </w:r>
      <w:r w:rsidR="008D7D8A" w:rsidRPr="00BF7FED">
        <w:rPr>
          <w:b/>
          <w:sz w:val="28"/>
          <w:szCs w:val="28"/>
        </w:rPr>
        <w:t>stanovení</w:t>
      </w:r>
      <w:r w:rsidR="00BA09EE">
        <w:rPr>
          <w:b/>
          <w:sz w:val="28"/>
          <w:szCs w:val="28"/>
        </w:rPr>
        <w:t xml:space="preserve"> volných lehkých řetězců (FLC)</w:t>
      </w:r>
    </w:p>
    <w:p w14:paraId="600CB0E0" w14:textId="77777777" w:rsidR="003743D8" w:rsidRPr="00BF7FED" w:rsidRDefault="003743D8">
      <w:pPr>
        <w:jc w:val="center"/>
        <w:rPr>
          <w:sz w:val="20"/>
          <w:szCs w:val="20"/>
          <w:highlight w:val="cyan"/>
        </w:rPr>
      </w:pPr>
    </w:p>
    <w:p w14:paraId="7683965D" w14:textId="312C6D04" w:rsidR="000855FF" w:rsidRPr="00BF7FED" w:rsidRDefault="000855FF" w:rsidP="000855FF">
      <w:pPr>
        <w:jc w:val="both"/>
        <w:rPr>
          <w:rFonts w:eastAsiaTheme="minorHAnsi"/>
          <w:sz w:val="20"/>
          <w:szCs w:val="20"/>
          <w:lang w:eastAsia="en-US"/>
        </w:rPr>
      </w:pPr>
    </w:p>
    <w:p w14:paraId="262010AF" w14:textId="7A9DB51B" w:rsidR="000855FF" w:rsidRPr="00BF7FED" w:rsidRDefault="000855FF" w:rsidP="000855FF">
      <w:pPr>
        <w:rPr>
          <w:u w:val="single"/>
        </w:rPr>
      </w:pPr>
      <w:r w:rsidRPr="00BF7FED">
        <w:rPr>
          <w:sz w:val="20"/>
          <w:szCs w:val="20"/>
          <w:u w:val="single"/>
        </w:rPr>
        <w:t>Seznam požadovaných položek:</w:t>
      </w:r>
    </w:p>
    <w:p w14:paraId="0F39B364" w14:textId="77777777" w:rsidR="000855FF" w:rsidRPr="00BF7FED" w:rsidRDefault="000855FF" w:rsidP="000855FF">
      <w:pPr>
        <w:rPr>
          <w:u w:val="single"/>
        </w:rPr>
      </w:pPr>
    </w:p>
    <w:p w14:paraId="18652088" w14:textId="7753E5F7" w:rsidR="000855FF" w:rsidRPr="00BF7FED" w:rsidRDefault="000855FF" w:rsidP="000855FF">
      <w:pPr>
        <w:pStyle w:val="Odstavecseseznamem"/>
        <w:numPr>
          <w:ilvl w:val="0"/>
          <w:numId w:val="6"/>
        </w:numPr>
        <w:tabs>
          <w:tab w:val="left" w:leader="dot" w:pos="1985"/>
        </w:tabs>
        <w:rPr>
          <w:rFonts w:ascii="Times New Roman" w:hAnsi="Times New Roman"/>
          <w:sz w:val="20"/>
          <w:szCs w:val="20"/>
        </w:rPr>
      </w:pPr>
      <w:r w:rsidRPr="00BF7FED">
        <w:rPr>
          <w:rFonts w:ascii="Times New Roman" w:hAnsi="Times New Roman"/>
          <w:sz w:val="20"/>
          <w:szCs w:val="20"/>
        </w:rPr>
        <w:t xml:space="preserve">1 ks ………. </w:t>
      </w:r>
      <w:r w:rsidR="00BA09EE">
        <w:rPr>
          <w:rFonts w:ascii="Times New Roman" w:eastAsiaTheme="minorHAnsi" w:hAnsi="Times New Roman"/>
          <w:sz w:val="20"/>
          <w:szCs w:val="20"/>
        </w:rPr>
        <w:t xml:space="preserve">Ústav biomedicíny a laboratorní diagnostiky - </w:t>
      </w:r>
      <w:r w:rsidR="008D7D8A" w:rsidRPr="00BF7FED">
        <w:rPr>
          <w:rFonts w:ascii="Times New Roman" w:hAnsi="Times New Roman"/>
          <w:sz w:val="20"/>
          <w:szCs w:val="20"/>
        </w:rPr>
        <w:t>Oddělení klinické biochemie</w:t>
      </w:r>
      <w:r w:rsidRPr="00BF7FED">
        <w:rPr>
          <w:rFonts w:ascii="Times New Roman" w:hAnsi="Times New Roman"/>
          <w:sz w:val="20"/>
          <w:szCs w:val="20"/>
        </w:rPr>
        <w:t xml:space="preserve">, Masarykova nemocnice v Ústí nad Labem, </w:t>
      </w:r>
      <w:proofErr w:type="spellStart"/>
      <w:r w:rsidRPr="00BF7FED">
        <w:rPr>
          <w:rFonts w:ascii="Times New Roman" w:hAnsi="Times New Roman"/>
          <w:sz w:val="20"/>
          <w:szCs w:val="20"/>
        </w:rPr>
        <w:t>o.z</w:t>
      </w:r>
      <w:proofErr w:type="spellEnd"/>
      <w:r w:rsidRPr="00BF7FED">
        <w:rPr>
          <w:rFonts w:ascii="Times New Roman" w:hAnsi="Times New Roman"/>
          <w:sz w:val="20"/>
          <w:szCs w:val="20"/>
        </w:rPr>
        <w:t>.</w:t>
      </w:r>
    </w:p>
    <w:p w14:paraId="0781F515" w14:textId="77777777" w:rsidR="003743D8" w:rsidRPr="00BF7FED" w:rsidRDefault="003743D8">
      <w:pPr>
        <w:rPr>
          <w:rFonts w:eastAsiaTheme="minorHAnsi"/>
          <w:sz w:val="20"/>
          <w:szCs w:val="20"/>
          <w:lang w:eastAsia="en-US"/>
        </w:rPr>
      </w:pPr>
    </w:p>
    <w:p w14:paraId="1FA3D71C" w14:textId="77777777" w:rsidR="003743D8" w:rsidRPr="00BF7FED" w:rsidRDefault="004E79F7">
      <w:pPr>
        <w:rPr>
          <w:sz w:val="20"/>
          <w:szCs w:val="20"/>
          <w:u w:val="single"/>
        </w:rPr>
      </w:pPr>
      <w:r w:rsidRPr="00BF7FED">
        <w:rPr>
          <w:sz w:val="20"/>
          <w:szCs w:val="20"/>
          <w:u w:val="single"/>
        </w:rPr>
        <w:t>Požadované minimální technické a uživatelské parametry a vlastnosti:</w:t>
      </w:r>
    </w:p>
    <w:p w14:paraId="6B8014A7" w14:textId="77777777" w:rsidR="003743D8" w:rsidRPr="00BF7FED" w:rsidRDefault="003743D8">
      <w:pPr>
        <w:rPr>
          <w:sz w:val="20"/>
          <w:szCs w:val="20"/>
          <w:u w:val="single"/>
        </w:rPr>
      </w:pPr>
    </w:p>
    <w:p w14:paraId="03D6838F" w14:textId="77777777" w:rsidR="00BA09EE" w:rsidRPr="00BA09EE" w:rsidRDefault="00BA09EE" w:rsidP="00BA09EE">
      <w:pPr>
        <w:pStyle w:val="Odstavecseseznamem"/>
        <w:numPr>
          <w:ilvl w:val="0"/>
          <w:numId w:val="5"/>
        </w:numPr>
        <w:spacing w:after="160"/>
        <w:jc w:val="both"/>
        <w:rPr>
          <w:rFonts w:ascii="Times New Roman" w:hAnsi="Times New Roman"/>
          <w:sz w:val="20"/>
          <w:szCs w:val="20"/>
        </w:rPr>
      </w:pPr>
      <w:r w:rsidRPr="00BA09EE">
        <w:rPr>
          <w:rFonts w:ascii="Times New Roman" w:hAnsi="Times New Roman"/>
          <w:sz w:val="20"/>
          <w:szCs w:val="20"/>
        </w:rPr>
        <w:t>Plně automatický analyzátor, princip měření - turbidimetrie</w:t>
      </w:r>
    </w:p>
    <w:p w14:paraId="5781ACCF" w14:textId="77777777" w:rsidR="00BA09EE" w:rsidRPr="00BA09EE" w:rsidRDefault="00BA09EE" w:rsidP="00BA09EE">
      <w:pPr>
        <w:pStyle w:val="Odstavecseseznamem"/>
        <w:numPr>
          <w:ilvl w:val="0"/>
          <w:numId w:val="5"/>
        </w:numPr>
        <w:spacing w:after="160"/>
        <w:jc w:val="both"/>
        <w:rPr>
          <w:rFonts w:ascii="Times New Roman" w:hAnsi="Times New Roman"/>
          <w:sz w:val="20"/>
          <w:szCs w:val="20"/>
        </w:rPr>
      </w:pPr>
      <w:r w:rsidRPr="00BA09EE">
        <w:rPr>
          <w:rFonts w:ascii="Times New Roman" w:hAnsi="Times New Roman"/>
          <w:sz w:val="20"/>
          <w:szCs w:val="20"/>
        </w:rPr>
        <w:t>Celkový výkon: min. 60 testů/hod.</w:t>
      </w:r>
    </w:p>
    <w:p w14:paraId="24CF7351" w14:textId="77777777" w:rsidR="00BA09EE" w:rsidRPr="00BA09EE" w:rsidRDefault="00BA09EE" w:rsidP="00BA09EE">
      <w:pPr>
        <w:pStyle w:val="Odstavecseseznamem"/>
        <w:numPr>
          <w:ilvl w:val="0"/>
          <w:numId w:val="5"/>
        </w:numPr>
        <w:spacing w:after="160"/>
        <w:jc w:val="both"/>
        <w:rPr>
          <w:rFonts w:ascii="Times New Roman" w:hAnsi="Times New Roman"/>
          <w:sz w:val="20"/>
          <w:szCs w:val="20"/>
        </w:rPr>
      </w:pPr>
      <w:r w:rsidRPr="00BA09EE">
        <w:rPr>
          <w:rFonts w:ascii="Times New Roman" w:hAnsi="Times New Roman"/>
          <w:sz w:val="20"/>
          <w:szCs w:val="20"/>
        </w:rPr>
        <w:t>Analyzátor musí pracovat s biologickými materiály: sérum, plazma, moč a mozkomíšní mok</w:t>
      </w:r>
    </w:p>
    <w:p w14:paraId="4587B667" w14:textId="77777777" w:rsidR="00BA09EE" w:rsidRPr="00BA09EE" w:rsidRDefault="00BA09EE" w:rsidP="00BA09EE">
      <w:pPr>
        <w:pStyle w:val="Odstavecseseznamem"/>
        <w:numPr>
          <w:ilvl w:val="0"/>
          <w:numId w:val="5"/>
        </w:numPr>
        <w:spacing w:after="160"/>
        <w:jc w:val="both"/>
        <w:rPr>
          <w:rFonts w:ascii="Times New Roman" w:hAnsi="Times New Roman"/>
          <w:sz w:val="20"/>
          <w:szCs w:val="20"/>
        </w:rPr>
      </w:pPr>
      <w:r w:rsidRPr="00BA09EE">
        <w:rPr>
          <w:rFonts w:ascii="Times New Roman" w:hAnsi="Times New Roman"/>
          <w:sz w:val="20"/>
          <w:szCs w:val="20"/>
        </w:rPr>
        <w:t>Detekce hladiny, sraženiny a bublin ve vzorku</w:t>
      </w:r>
    </w:p>
    <w:p w14:paraId="026D6E4E" w14:textId="77777777" w:rsidR="00BA09EE" w:rsidRPr="00BA09EE" w:rsidRDefault="00BA09EE" w:rsidP="00BA09EE">
      <w:pPr>
        <w:pStyle w:val="Odstavecseseznamem"/>
        <w:numPr>
          <w:ilvl w:val="0"/>
          <w:numId w:val="5"/>
        </w:numPr>
        <w:spacing w:after="160"/>
        <w:jc w:val="both"/>
        <w:rPr>
          <w:rFonts w:ascii="Times New Roman" w:hAnsi="Times New Roman"/>
          <w:sz w:val="20"/>
          <w:szCs w:val="20"/>
        </w:rPr>
      </w:pPr>
      <w:r w:rsidRPr="00BA09EE">
        <w:rPr>
          <w:rFonts w:ascii="Times New Roman" w:hAnsi="Times New Roman"/>
          <w:sz w:val="20"/>
          <w:szCs w:val="20"/>
        </w:rPr>
        <w:t>Minimálně 30 pozic pro reagencie, trvale chlazené</w:t>
      </w:r>
    </w:p>
    <w:p w14:paraId="3B2D547E" w14:textId="77777777" w:rsidR="00BA09EE" w:rsidRPr="00BA09EE" w:rsidRDefault="00BA09EE" w:rsidP="00BA09EE">
      <w:pPr>
        <w:pStyle w:val="Odstavecseseznamem"/>
        <w:numPr>
          <w:ilvl w:val="0"/>
          <w:numId w:val="5"/>
        </w:numPr>
        <w:spacing w:after="160"/>
        <w:jc w:val="both"/>
        <w:rPr>
          <w:rFonts w:ascii="Times New Roman" w:hAnsi="Times New Roman"/>
          <w:sz w:val="20"/>
          <w:szCs w:val="20"/>
        </w:rPr>
      </w:pPr>
      <w:r w:rsidRPr="00BA09EE">
        <w:rPr>
          <w:rFonts w:ascii="Times New Roman" w:hAnsi="Times New Roman"/>
          <w:sz w:val="20"/>
          <w:szCs w:val="20"/>
        </w:rPr>
        <w:t>Stabilita reagencií na palubě minimálně 1 měsíc</w:t>
      </w:r>
    </w:p>
    <w:p w14:paraId="550F3B6B" w14:textId="4CC0EDF6" w:rsidR="00BA09EE" w:rsidRPr="00BA09EE" w:rsidRDefault="00BA09EE" w:rsidP="00BA09EE">
      <w:pPr>
        <w:pStyle w:val="Odstavecseseznamem"/>
        <w:numPr>
          <w:ilvl w:val="0"/>
          <w:numId w:val="5"/>
        </w:numPr>
        <w:spacing w:after="1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Musí umožňovat</w:t>
      </w:r>
      <w:r w:rsidRPr="00BA09EE">
        <w:rPr>
          <w:rFonts w:ascii="Times New Roman" w:hAnsi="Times New Roman"/>
          <w:sz w:val="20"/>
          <w:szCs w:val="20"/>
        </w:rPr>
        <w:t xml:space="preserve"> umístění na palubu analyzátoru minimálně 50 vzorků současně</w:t>
      </w:r>
    </w:p>
    <w:p w14:paraId="446759F4" w14:textId="77777777" w:rsidR="00BA09EE" w:rsidRPr="00BA09EE" w:rsidRDefault="00BA09EE" w:rsidP="00BA09EE">
      <w:pPr>
        <w:pStyle w:val="Odstavecseseznamem"/>
        <w:numPr>
          <w:ilvl w:val="0"/>
          <w:numId w:val="5"/>
        </w:numPr>
        <w:spacing w:after="160"/>
        <w:jc w:val="both"/>
        <w:rPr>
          <w:rFonts w:ascii="Times New Roman" w:hAnsi="Times New Roman"/>
          <w:sz w:val="20"/>
          <w:szCs w:val="20"/>
        </w:rPr>
      </w:pPr>
      <w:r w:rsidRPr="00BA09EE">
        <w:rPr>
          <w:rFonts w:ascii="Times New Roman" w:hAnsi="Times New Roman"/>
          <w:sz w:val="20"/>
          <w:szCs w:val="20"/>
        </w:rPr>
        <w:t>Nádoby na odpad začleněné do těla analyzátoru</w:t>
      </w:r>
    </w:p>
    <w:p w14:paraId="4BF2B690" w14:textId="56FD3A1C" w:rsidR="00BA09EE" w:rsidRPr="00BA09EE" w:rsidRDefault="00BA09EE" w:rsidP="00BA09EE">
      <w:pPr>
        <w:pStyle w:val="Odstavecseseznamem"/>
        <w:numPr>
          <w:ilvl w:val="0"/>
          <w:numId w:val="5"/>
        </w:numPr>
        <w:spacing w:after="1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Musí umožňovat</w:t>
      </w:r>
      <w:r w:rsidRPr="00BA09EE">
        <w:rPr>
          <w:rFonts w:ascii="Times New Roman" w:hAnsi="Times New Roman"/>
          <w:sz w:val="20"/>
          <w:szCs w:val="20"/>
        </w:rPr>
        <w:t xml:space="preserve"> vkládání a vyjímání reagencií kontinuálně během provozu bez nutnosti jeho zastavení</w:t>
      </w:r>
    </w:p>
    <w:p w14:paraId="395292BF" w14:textId="77777777" w:rsidR="00BA09EE" w:rsidRPr="00BA09EE" w:rsidRDefault="00BA09EE" w:rsidP="00BA09EE">
      <w:pPr>
        <w:pStyle w:val="Odstavecseseznamem"/>
        <w:numPr>
          <w:ilvl w:val="0"/>
          <w:numId w:val="5"/>
        </w:numPr>
        <w:spacing w:after="160"/>
        <w:jc w:val="both"/>
        <w:rPr>
          <w:rFonts w:ascii="Times New Roman" w:hAnsi="Times New Roman"/>
          <w:sz w:val="20"/>
          <w:szCs w:val="20"/>
        </w:rPr>
      </w:pPr>
      <w:r w:rsidRPr="00BA09EE">
        <w:rPr>
          <w:rFonts w:ascii="Times New Roman" w:hAnsi="Times New Roman"/>
          <w:sz w:val="20"/>
          <w:szCs w:val="20"/>
        </w:rPr>
        <w:t>Identifikace vzorků pomocí čárového kódu</w:t>
      </w:r>
    </w:p>
    <w:p w14:paraId="2FD47A76" w14:textId="77777777" w:rsidR="00BA09EE" w:rsidRPr="00BA09EE" w:rsidRDefault="00BA09EE" w:rsidP="00BA09EE">
      <w:pPr>
        <w:pStyle w:val="Odstavecseseznamem"/>
        <w:numPr>
          <w:ilvl w:val="0"/>
          <w:numId w:val="5"/>
        </w:numPr>
        <w:spacing w:after="160"/>
        <w:jc w:val="both"/>
        <w:rPr>
          <w:rFonts w:ascii="Times New Roman" w:hAnsi="Times New Roman"/>
          <w:sz w:val="20"/>
          <w:szCs w:val="20"/>
        </w:rPr>
      </w:pPr>
      <w:r w:rsidRPr="00BA09EE">
        <w:rPr>
          <w:rFonts w:ascii="Times New Roman" w:hAnsi="Times New Roman"/>
          <w:sz w:val="20"/>
          <w:szCs w:val="20"/>
        </w:rPr>
        <w:t>Identifikace reagencií, kontrol a kalibrátorů pomocí čárového kódu</w:t>
      </w:r>
    </w:p>
    <w:p w14:paraId="056AC8E1" w14:textId="77777777" w:rsidR="00BA09EE" w:rsidRPr="00BA09EE" w:rsidRDefault="00BA09EE" w:rsidP="00BA09EE">
      <w:pPr>
        <w:pStyle w:val="Odstavecseseznamem"/>
        <w:numPr>
          <w:ilvl w:val="0"/>
          <w:numId w:val="5"/>
        </w:numPr>
        <w:spacing w:after="160"/>
        <w:jc w:val="both"/>
        <w:rPr>
          <w:rFonts w:ascii="Times New Roman" w:hAnsi="Times New Roman"/>
          <w:sz w:val="20"/>
          <w:szCs w:val="20"/>
        </w:rPr>
      </w:pPr>
      <w:r w:rsidRPr="00BA09EE">
        <w:rPr>
          <w:rFonts w:ascii="Times New Roman" w:hAnsi="Times New Roman"/>
          <w:sz w:val="20"/>
          <w:szCs w:val="20"/>
        </w:rPr>
        <w:t>Automatická denní údržba a inicializace</w:t>
      </w:r>
    </w:p>
    <w:p w14:paraId="6CA90234" w14:textId="77777777" w:rsidR="00BA09EE" w:rsidRPr="00BA09EE" w:rsidRDefault="00BA09EE" w:rsidP="00BA09EE">
      <w:pPr>
        <w:pStyle w:val="Odstavecseseznamem"/>
        <w:numPr>
          <w:ilvl w:val="0"/>
          <w:numId w:val="5"/>
        </w:numPr>
        <w:spacing w:after="160"/>
        <w:jc w:val="both"/>
        <w:rPr>
          <w:rFonts w:ascii="Times New Roman" w:hAnsi="Times New Roman"/>
          <w:sz w:val="20"/>
          <w:szCs w:val="20"/>
        </w:rPr>
      </w:pPr>
      <w:r w:rsidRPr="00BA09EE">
        <w:rPr>
          <w:rFonts w:ascii="Times New Roman" w:hAnsi="Times New Roman"/>
          <w:sz w:val="20"/>
          <w:szCs w:val="20"/>
        </w:rPr>
        <w:t>Rozpoznání nadbytku antigenu ve vzorku – automatická kontrola možného nadbytku antigenu</w:t>
      </w:r>
    </w:p>
    <w:p w14:paraId="2AC67403" w14:textId="77777777" w:rsidR="00BA09EE" w:rsidRPr="00BA09EE" w:rsidRDefault="00BA09EE" w:rsidP="00BA09EE">
      <w:pPr>
        <w:pStyle w:val="Odstavecseseznamem"/>
        <w:numPr>
          <w:ilvl w:val="0"/>
          <w:numId w:val="5"/>
        </w:numPr>
        <w:spacing w:after="160"/>
        <w:jc w:val="both"/>
        <w:rPr>
          <w:rFonts w:ascii="Times New Roman" w:hAnsi="Times New Roman"/>
          <w:sz w:val="20"/>
          <w:szCs w:val="20"/>
        </w:rPr>
      </w:pPr>
      <w:r w:rsidRPr="00BA09EE">
        <w:rPr>
          <w:rFonts w:ascii="Times New Roman" w:hAnsi="Times New Roman"/>
          <w:sz w:val="20"/>
          <w:szCs w:val="20"/>
        </w:rPr>
        <w:t>Stanovení volných lehkých řetězců kappa a lambda při zachování kontinuity pacientských výsledků v nemocničním zařízení pro dlouhodobé sledování závažných onemocnění</w:t>
      </w:r>
    </w:p>
    <w:p w14:paraId="1A5D58F4" w14:textId="01546C1E" w:rsidR="00BA09EE" w:rsidRPr="00BA09EE" w:rsidRDefault="00BA09EE" w:rsidP="00BA09EE">
      <w:pPr>
        <w:pStyle w:val="Odstavecseseznamem"/>
        <w:numPr>
          <w:ilvl w:val="0"/>
          <w:numId w:val="5"/>
        </w:numPr>
        <w:spacing w:after="1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Musí umožňovat</w:t>
      </w:r>
      <w:r w:rsidRPr="00BA09EE">
        <w:rPr>
          <w:rFonts w:ascii="Times New Roman" w:hAnsi="Times New Roman"/>
          <w:sz w:val="20"/>
          <w:szCs w:val="20"/>
        </w:rPr>
        <w:t xml:space="preserve"> provádění kalibrace i v průběhu analytického procesu, vícebodová kalibrace s volitelnou frekvencí kontrol</w:t>
      </w:r>
    </w:p>
    <w:p w14:paraId="0A2A5585" w14:textId="77777777" w:rsidR="00BA09EE" w:rsidRPr="00BA09EE" w:rsidRDefault="00BA09EE" w:rsidP="00BA09EE">
      <w:pPr>
        <w:pStyle w:val="Odstavecseseznamem"/>
        <w:numPr>
          <w:ilvl w:val="0"/>
          <w:numId w:val="5"/>
        </w:numPr>
        <w:spacing w:after="160"/>
        <w:jc w:val="both"/>
        <w:rPr>
          <w:rFonts w:ascii="Times New Roman" w:hAnsi="Times New Roman"/>
          <w:sz w:val="20"/>
          <w:szCs w:val="20"/>
        </w:rPr>
      </w:pPr>
      <w:r w:rsidRPr="00BA09EE">
        <w:rPr>
          <w:rFonts w:ascii="Times New Roman" w:hAnsi="Times New Roman"/>
          <w:sz w:val="20"/>
          <w:szCs w:val="20"/>
        </w:rPr>
        <w:t>Ovládací SW v českém jazyce</w:t>
      </w:r>
    </w:p>
    <w:p w14:paraId="151F90BB" w14:textId="77777777" w:rsidR="00BA09EE" w:rsidRPr="00BA09EE" w:rsidRDefault="00BA09EE" w:rsidP="00BA09EE">
      <w:pPr>
        <w:pStyle w:val="Odstavecseseznamem"/>
        <w:numPr>
          <w:ilvl w:val="0"/>
          <w:numId w:val="5"/>
        </w:numPr>
        <w:spacing w:after="160"/>
        <w:jc w:val="both"/>
        <w:rPr>
          <w:rFonts w:ascii="Times New Roman" w:hAnsi="Times New Roman"/>
          <w:sz w:val="20"/>
          <w:szCs w:val="20"/>
        </w:rPr>
      </w:pPr>
      <w:r w:rsidRPr="00BA09EE">
        <w:rPr>
          <w:rFonts w:ascii="Times New Roman" w:hAnsi="Times New Roman"/>
          <w:sz w:val="20"/>
          <w:szCs w:val="20"/>
        </w:rPr>
        <w:t>Nádoby na odpad začleněné do těla analyzátoru</w:t>
      </w:r>
    </w:p>
    <w:p w14:paraId="77001F5C" w14:textId="77777777" w:rsidR="00BA09EE" w:rsidRPr="00BA09EE" w:rsidRDefault="00BA09EE" w:rsidP="00BA09EE">
      <w:pPr>
        <w:pStyle w:val="Odstavecseseznamem"/>
        <w:numPr>
          <w:ilvl w:val="0"/>
          <w:numId w:val="5"/>
        </w:numPr>
        <w:spacing w:after="160"/>
        <w:jc w:val="both"/>
        <w:rPr>
          <w:rFonts w:ascii="Times New Roman" w:hAnsi="Times New Roman"/>
          <w:sz w:val="20"/>
          <w:szCs w:val="20"/>
        </w:rPr>
      </w:pPr>
      <w:r w:rsidRPr="00BA09EE">
        <w:rPr>
          <w:rFonts w:ascii="Times New Roman" w:hAnsi="Times New Roman"/>
          <w:sz w:val="20"/>
          <w:szCs w:val="20"/>
        </w:rPr>
        <w:t>Integrovaný systém kontroly kvality včetně grafického i početního vyhodnocení</w:t>
      </w:r>
    </w:p>
    <w:p w14:paraId="5AC00CEC" w14:textId="77777777" w:rsidR="00BA09EE" w:rsidRPr="00BA09EE" w:rsidRDefault="00BA09EE" w:rsidP="00BA09EE">
      <w:pPr>
        <w:pStyle w:val="Odstavecseseznamem"/>
        <w:numPr>
          <w:ilvl w:val="0"/>
          <w:numId w:val="5"/>
        </w:numPr>
        <w:spacing w:after="160"/>
        <w:jc w:val="both"/>
        <w:rPr>
          <w:rFonts w:ascii="Times New Roman" w:hAnsi="Times New Roman"/>
          <w:sz w:val="20"/>
          <w:szCs w:val="20"/>
        </w:rPr>
      </w:pPr>
      <w:r w:rsidRPr="00BA09EE">
        <w:rPr>
          <w:rFonts w:ascii="Times New Roman" w:hAnsi="Times New Roman"/>
          <w:sz w:val="20"/>
          <w:szCs w:val="20"/>
        </w:rPr>
        <w:t>Splnění požadavků ISO 15189 – dohledatelnost identifikace a úkonů obsluhy analyzátoru, identifikace a dohledatelnost použitých reagencií pro měření jednotlivých vzorků, kalibrační procesy v souladu s požadavky ISO 15189, databáze výsledků, záloha primárních dat</w:t>
      </w:r>
    </w:p>
    <w:p w14:paraId="14BCA75C" w14:textId="77777777" w:rsidR="00BA09EE" w:rsidRPr="00BA09EE" w:rsidRDefault="00BA09EE" w:rsidP="00BA09EE">
      <w:pPr>
        <w:pStyle w:val="Odstavecseseznamem"/>
        <w:numPr>
          <w:ilvl w:val="0"/>
          <w:numId w:val="5"/>
        </w:numPr>
        <w:spacing w:after="160"/>
        <w:jc w:val="both"/>
        <w:rPr>
          <w:rFonts w:ascii="Times New Roman" w:hAnsi="Times New Roman"/>
          <w:sz w:val="20"/>
          <w:szCs w:val="20"/>
        </w:rPr>
      </w:pPr>
      <w:r w:rsidRPr="00BA09EE">
        <w:rPr>
          <w:rFonts w:ascii="Times New Roman" w:hAnsi="Times New Roman"/>
          <w:sz w:val="20"/>
          <w:szCs w:val="20"/>
        </w:rPr>
        <w:t>Použití jednorázových reagenčních kyvet</w:t>
      </w:r>
    </w:p>
    <w:p w14:paraId="246D1DEF" w14:textId="7FC94CE4" w:rsidR="00BA09EE" w:rsidRDefault="00BA09EE" w:rsidP="00BA09EE">
      <w:pPr>
        <w:pStyle w:val="Odstavecseseznamem"/>
        <w:numPr>
          <w:ilvl w:val="0"/>
          <w:numId w:val="5"/>
        </w:numPr>
        <w:spacing w:after="160"/>
        <w:jc w:val="both"/>
        <w:rPr>
          <w:rFonts w:ascii="Times New Roman" w:hAnsi="Times New Roman"/>
          <w:sz w:val="20"/>
          <w:szCs w:val="20"/>
        </w:rPr>
      </w:pPr>
      <w:r w:rsidRPr="00BA09EE">
        <w:rPr>
          <w:rFonts w:ascii="Times New Roman" w:hAnsi="Times New Roman"/>
          <w:sz w:val="20"/>
          <w:szCs w:val="20"/>
        </w:rPr>
        <w:t>Automatické sledování množství zbývajících reagenčních testů, stability na palubě, platnosti kalibrací</w:t>
      </w:r>
    </w:p>
    <w:p w14:paraId="6897C634" w14:textId="6A276DC3" w:rsidR="003D35CD" w:rsidRPr="003D35CD" w:rsidRDefault="003D35CD" w:rsidP="002864EE">
      <w:pPr>
        <w:pStyle w:val="Odstavecseseznamem"/>
        <w:numPr>
          <w:ilvl w:val="0"/>
          <w:numId w:val="5"/>
        </w:numPr>
        <w:rPr>
          <w:rFonts w:ascii="Times New Roman" w:hAnsi="Times New Roman"/>
          <w:sz w:val="20"/>
          <w:szCs w:val="20"/>
        </w:rPr>
      </w:pPr>
      <w:r w:rsidRPr="003D35CD">
        <w:rPr>
          <w:rFonts w:ascii="Times New Roman" w:hAnsi="Times New Roman"/>
          <w:sz w:val="20"/>
          <w:szCs w:val="20"/>
        </w:rPr>
        <w:t>M</w:t>
      </w:r>
      <w:r w:rsidR="00251E31">
        <w:rPr>
          <w:rFonts w:ascii="Times New Roman" w:hAnsi="Times New Roman"/>
          <w:sz w:val="20"/>
          <w:szCs w:val="20"/>
        </w:rPr>
        <w:t>usí umožňovat</w:t>
      </w:r>
      <w:r w:rsidRPr="003D35CD">
        <w:rPr>
          <w:rFonts w:ascii="Times New Roman" w:hAnsi="Times New Roman"/>
          <w:sz w:val="20"/>
          <w:szCs w:val="20"/>
        </w:rPr>
        <w:t xml:space="preserve"> nastavení otevřeného kanálu na vypůjčeném analyzátoru pro zavedení stanovení pro </w:t>
      </w:r>
      <w:proofErr w:type="spellStart"/>
      <w:r w:rsidRPr="003D35CD">
        <w:rPr>
          <w:rFonts w:ascii="Times New Roman" w:hAnsi="Times New Roman"/>
          <w:sz w:val="20"/>
          <w:szCs w:val="20"/>
        </w:rPr>
        <w:t>Calprotektin</w:t>
      </w:r>
      <w:proofErr w:type="spellEnd"/>
      <w:r w:rsidRPr="003D35CD">
        <w:rPr>
          <w:rFonts w:ascii="Times New Roman" w:hAnsi="Times New Roman"/>
          <w:sz w:val="20"/>
          <w:szCs w:val="20"/>
        </w:rPr>
        <w:t xml:space="preserve"> (stolice)</w:t>
      </w:r>
      <w:r>
        <w:rPr>
          <w:rFonts w:ascii="Times New Roman" w:hAnsi="Times New Roman"/>
          <w:sz w:val="20"/>
          <w:szCs w:val="20"/>
        </w:rPr>
        <w:t xml:space="preserve"> a </w:t>
      </w:r>
      <w:r w:rsidRPr="003D35CD">
        <w:rPr>
          <w:rFonts w:ascii="Times New Roman" w:hAnsi="Times New Roman"/>
          <w:sz w:val="20"/>
          <w:szCs w:val="20"/>
        </w:rPr>
        <w:t xml:space="preserve">Pankreatická </w:t>
      </w:r>
      <w:proofErr w:type="spellStart"/>
      <w:r w:rsidRPr="003D35CD">
        <w:rPr>
          <w:rFonts w:ascii="Times New Roman" w:hAnsi="Times New Roman"/>
          <w:sz w:val="20"/>
          <w:szCs w:val="20"/>
        </w:rPr>
        <w:t>elastáza</w:t>
      </w:r>
      <w:proofErr w:type="spellEnd"/>
      <w:r w:rsidRPr="003D35CD">
        <w:rPr>
          <w:rFonts w:ascii="Times New Roman" w:hAnsi="Times New Roman"/>
          <w:sz w:val="20"/>
          <w:szCs w:val="20"/>
        </w:rPr>
        <w:t xml:space="preserve"> (stolice) na základě reagencií a spotřebního materiálu poskytovaných jinými dodavateli</w:t>
      </w:r>
    </w:p>
    <w:p w14:paraId="7E02AB00" w14:textId="0A25629F" w:rsidR="00BA09EE" w:rsidRPr="00BA09EE" w:rsidRDefault="00BA09EE" w:rsidP="00BA09EE">
      <w:pPr>
        <w:pStyle w:val="Odstavecseseznamem"/>
        <w:numPr>
          <w:ilvl w:val="0"/>
          <w:numId w:val="5"/>
        </w:numPr>
        <w:spacing w:after="160"/>
        <w:jc w:val="both"/>
        <w:rPr>
          <w:rFonts w:ascii="Times New Roman" w:hAnsi="Times New Roman"/>
          <w:sz w:val="20"/>
          <w:szCs w:val="20"/>
        </w:rPr>
      </w:pPr>
      <w:r w:rsidRPr="00BA09EE">
        <w:rPr>
          <w:rFonts w:ascii="Times New Roman" w:hAnsi="Times New Roman"/>
          <w:sz w:val="20"/>
          <w:szCs w:val="20"/>
        </w:rPr>
        <w:t>Bezúplatné napojení analyzátoru na LIS vypůjčitele – poplatek za připojení součástí nabídky</w:t>
      </w:r>
    </w:p>
    <w:p w14:paraId="12582FFD" w14:textId="77777777" w:rsidR="00BA09EE" w:rsidRPr="00BA09EE" w:rsidRDefault="00BA09EE" w:rsidP="00BA09EE">
      <w:pPr>
        <w:pStyle w:val="Odstavecseseznamem"/>
        <w:numPr>
          <w:ilvl w:val="0"/>
          <w:numId w:val="5"/>
        </w:numPr>
        <w:spacing w:after="160"/>
        <w:jc w:val="both"/>
        <w:rPr>
          <w:rFonts w:ascii="Times New Roman" w:hAnsi="Times New Roman"/>
          <w:sz w:val="20"/>
          <w:szCs w:val="20"/>
        </w:rPr>
      </w:pPr>
      <w:r w:rsidRPr="00BA09EE">
        <w:rPr>
          <w:rFonts w:ascii="Times New Roman" w:hAnsi="Times New Roman"/>
          <w:sz w:val="20"/>
          <w:szCs w:val="20"/>
        </w:rPr>
        <w:t>Obecné požadavky na provedení a kvalitu ICT viz odkaz:</w:t>
      </w:r>
      <w:r w:rsidRPr="00BA09EE">
        <w:t xml:space="preserve"> </w:t>
      </w:r>
      <w:hyperlink r:id="rId8" w:history="1">
        <w:r w:rsidRPr="00BA09EE">
          <w:rPr>
            <w:rStyle w:val="Hypertextovodkaz"/>
            <w:rFonts w:ascii="Times New Roman" w:hAnsi="Times New Roman"/>
            <w:color w:val="auto"/>
            <w:sz w:val="20"/>
            <w:szCs w:val="20"/>
          </w:rPr>
          <w:t>https://www.kzcr.eu/cz/kz/pro-odborniky/informace-pro-projektanty/</w:t>
        </w:r>
      </w:hyperlink>
    </w:p>
    <w:p w14:paraId="574522E3" w14:textId="2C6C7B1C" w:rsidR="00BA09EE" w:rsidRDefault="00BA09EE" w:rsidP="00BA09EE">
      <w:pPr>
        <w:pStyle w:val="Odstavecseseznamem"/>
        <w:numPr>
          <w:ilvl w:val="0"/>
          <w:numId w:val="5"/>
        </w:numPr>
        <w:spacing w:after="160"/>
        <w:jc w:val="both"/>
        <w:rPr>
          <w:rFonts w:ascii="Times New Roman" w:hAnsi="Times New Roman"/>
          <w:sz w:val="20"/>
          <w:szCs w:val="20"/>
        </w:rPr>
      </w:pPr>
      <w:r w:rsidRPr="00BA09EE">
        <w:rPr>
          <w:rFonts w:ascii="Times New Roman" w:hAnsi="Times New Roman"/>
          <w:sz w:val="20"/>
          <w:szCs w:val="20"/>
        </w:rPr>
        <w:t>Součástí dodávky je veškeré příslušenství nutné pro uvedení do provozu</w:t>
      </w:r>
    </w:p>
    <w:p w14:paraId="58BB9D7D" w14:textId="05AAD4D2" w:rsidR="00FE7FA7" w:rsidRPr="00BA09EE" w:rsidRDefault="00FE7FA7" w:rsidP="00BA09EE">
      <w:pPr>
        <w:pStyle w:val="Odstavecseseznamem"/>
        <w:numPr>
          <w:ilvl w:val="0"/>
          <w:numId w:val="5"/>
        </w:numPr>
        <w:spacing w:after="1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R</w:t>
      </w:r>
      <w:r w:rsidRPr="00FE7FA7">
        <w:rPr>
          <w:rFonts w:ascii="Times New Roman" w:hAnsi="Times New Roman"/>
          <w:sz w:val="20"/>
          <w:szCs w:val="20"/>
        </w:rPr>
        <w:t xml:space="preserve">ok výroby </w:t>
      </w:r>
      <w:r>
        <w:rPr>
          <w:rFonts w:ascii="Times New Roman" w:hAnsi="Times New Roman"/>
          <w:sz w:val="20"/>
          <w:szCs w:val="20"/>
        </w:rPr>
        <w:t xml:space="preserve">analyzátoru </w:t>
      </w:r>
      <w:r w:rsidRPr="00FE7FA7">
        <w:rPr>
          <w:rFonts w:ascii="Times New Roman" w:hAnsi="Times New Roman"/>
          <w:sz w:val="20"/>
          <w:szCs w:val="20"/>
        </w:rPr>
        <w:t>20</w:t>
      </w:r>
      <w:r>
        <w:rPr>
          <w:rFonts w:ascii="Times New Roman" w:hAnsi="Times New Roman"/>
          <w:sz w:val="20"/>
          <w:szCs w:val="20"/>
        </w:rPr>
        <w:t>2</w:t>
      </w:r>
      <w:r w:rsidR="003D35CD">
        <w:rPr>
          <w:rFonts w:ascii="Times New Roman" w:hAnsi="Times New Roman"/>
          <w:sz w:val="20"/>
          <w:szCs w:val="20"/>
        </w:rPr>
        <w:t>1</w:t>
      </w:r>
      <w:r w:rsidRPr="00FE7FA7">
        <w:rPr>
          <w:rFonts w:ascii="Times New Roman" w:hAnsi="Times New Roman"/>
          <w:sz w:val="20"/>
          <w:szCs w:val="20"/>
        </w:rPr>
        <w:t xml:space="preserve"> a novější, nerepasovaný, nezastavený, nezapůjčený, nezatížený leasingem ani jinými právními vadami a neporušuje žádná práva třetích osob k patentu nebo k jiné formě duševního vlastnictví</w:t>
      </w:r>
    </w:p>
    <w:p w14:paraId="5DC8B779" w14:textId="77777777" w:rsidR="00BA09EE" w:rsidRPr="00BA09EE" w:rsidRDefault="00BA09EE" w:rsidP="00BA09EE">
      <w:pPr>
        <w:pStyle w:val="Odstavecseseznamem"/>
        <w:spacing w:after="160"/>
        <w:jc w:val="both"/>
        <w:rPr>
          <w:rFonts w:ascii="Times New Roman" w:hAnsi="Times New Roman"/>
          <w:sz w:val="20"/>
          <w:szCs w:val="20"/>
        </w:rPr>
      </w:pPr>
    </w:p>
    <w:p w14:paraId="0D591BAD" w14:textId="77777777" w:rsidR="00BE43F4" w:rsidRDefault="00BE43F4" w:rsidP="00BA09EE">
      <w:pPr>
        <w:pStyle w:val="Odstavecseseznamem"/>
        <w:spacing w:after="160"/>
        <w:jc w:val="both"/>
        <w:rPr>
          <w:rFonts w:ascii="Times New Roman" w:hAnsi="Times New Roman"/>
          <w:sz w:val="20"/>
          <w:szCs w:val="20"/>
          <w:u w:val="single"/>
        </w:rPr>
      </w:pPr>
    </w:p>
    <w:p w14:paraId="1A9BCDC9" w14:textId="77777777" w:rsidR="00BE43F4" w:rsidRDefault="00BE43F4" w:rsidP="00BA09EE">
      <w:pPr>
        <w:pStyle w:val="Odstavecseseznamem"/>
        <w:spacing w:after="160"/>
        <w:jc w:val="both"/>
        <w:rPr>
          <w:rFonts w:ascii="Times New Roman" w:hAnsi="Times New Roman"/>
          <w:sz w:val="20"/>
          <w:szCs w:val="20"/>
          <w:u w:val="single"/>
        </w:rPr>
      </w:pPr>
    </w:p>
    <w:p w14:paraId="47670820" w14:textId="2E8760DD" w:rsidR="00BA09EE" w:rsidRPr="00BA09EE" w:rsidRDefault="00BA09EE" w:rsidP="00BA09EE">
      <w:pPr>
        <w:pStyle w:val="Odstavecseseznamem"/>
        <w:spacing w:after="160"/>
        <w:jc w:val="both"/>
        <w:rPr>
          <w:rFonts w:ascii="Times New Roman" w:hAnsi="Times New Roman"/>
          <w:sz w:val="20"/>
          <w:szCs w:val="20"/>
          <w:u w:val="single"/>
        </w:rPr>
      </w:pPr>
      <w:r w:rsidRPr="00BA09EE">
        <w:rPr>
          <w:rFonts w:ascii="Times New Roman" w:hAnsi="Times New Roman"/>
          <w:sz w:val="20"/>
          <w:szCs w:val="20"/>
          <w:u w:val="single"/>
        </w:rPr>
        <w:lastRenderedPageBreak/>
        <w:t>Požadavky na diagnostika</w:t>
      </w:r>
    </w:p>
    <w:p w14:paraId="56AF8778" w14:textId="7871349D" w:rsidR="00BA09EE" w:rsidRPr="00BA09EE" w:rsidRDefault="00BA09EE" w:rsidP="00BA09EE">
      <w:pPr>
        <w:pStyle w:val="Odstavecseseznamem"/>
        <w:numPr>
          <w:ilvl w:val="0"/>
          <w:numId w:val="5"/>
        </w:numPr>
        <w:spacing w:after="160"/>
        <w:jc w:val="both"/>
        <w:rPr>
          <w:rFonts w:ascii="Times New Roman" w:hAnsi="Times New Roman"/>
          <w:sz w:val="20"/>
          <w:szCs w:val="20"/>
        </w:rPr>
      </w:pPr>
      <w:r w:rsidRPr="00BA09EE">
        <w:rPr>
          <w:rFonts w:ascii="Times New Roman" w:hAnsi="Times New Roman"/>
          <w:sz w:val="20"/>
          <w:szCs w:val="20"/>
        </w:rPr>
        <w:t>Reagencie a navazující spotřební materiál validované výrobcem pro zapůjčený analytický systém a splňující veškeré požadavky pro in vitro diagnostiku (prohlášení o shodě) a s exspirací umožňující plné využití dodaného materiálu</w:t>
      </w:r>
      <w:r w:rsidR="00D81D18">
        <w:rPr>
          <w:rFonts w:ascii="Times New Roman" w:hAnsi="Times New Roman"/>
          <w:sz w:val="20"/>
          <w:szCs w:val="20"/>
        </w:rPr>
        <w:t xml:space="preserve"> – minimálně 4 měsíce od dodání</w:t>
      </w:r>
    </w:p>
    <w:p w14:paraId="26ECEA40" w14:textId="77777777" w:rsidR="00BA09EE" w:rsidRPr="00BA09EE" w:rsidRDefault="00BA09EE" w:rsidP="00BA09EE">
      <w:pPr>
        <w:pStyle w:val="Odstavecseseznamem"/>
        <w:numPr>
          <w:ilvl w:val="0"/>
          <w:numId w:val="5"/>
        </w:numPr>
        <w:spacing w:after="160"/>
        <w:jc w:val="both"/>
        <w:rPr>
          <w:rFonts w:ascii="Times New Roman" w:hAnsi="Times New Roman"/>
          <w:sz w:val="20"/>
          <w:szCs w:val="20"/>
        </w:rPr>
      </w:pPr>
      <w:r w:rsidRPr="00BA09EE">
        <w:rPr>
          <w:rFonts w:ascii="Times New Roman" w:hAnsi="Times New Roman"/>
          <w:sz w:val="20"/>
          <w:szCs w:val="20"/>
        </w:rPr>
        <w:t>Dodávky zahrnují veškerá diagnostika nezbytná ke kompletnímu provedení požadovaných stanovení</w:t>
      </w:r>
    </w:p>
    <w:p w14:paraId="69E3630D" w14:textId="77777777" w:rsidR="00BA09EE" w:rsidRPr="00BA09EE" w:rsidRDefault="00BA09EE" w:rsidP="00BA09EE">
      <w:pPr>
        <w:pStyle w:val="Odstavecseseznamem"/>
        <w:numPr>
          <w:ilvl w:val="0"/>
          <w:numId w:val="5"/>
        </w:numPr>
        <w:spacing w:after="160"/>
        <w:jc w:val="both"/>
        <w:rPr>
          <w:rFonts w:ascii="Times New Roman" w:hAnsi="Times New Roman"/>
          <w:sz w:val="20"/>
          <w:szCs w:val="20"/>
        </w:rPr>
      </w:pPr>
      <w:r w:rsidRPr="00BA09EE">
        <w:rPr>
          <w:rFonts w:ascii="Times New Roman" w:hAnsi="Times New Roman"/>
          <w:sz w:val="20"/>
          <w:szCs w:val="20"/>
        </w:rPr>
        <w:t>Diagnostika/sady reagencií musí být způsobilá pro použití s dodávaným typem analyzátoru dle platných legislativních požadavků</w:t>
      </w:r>
    </w:p>
    <w:p w14:paraId="535BE6B4" w14:textId="77777777" w:rsidR="00BA09EE" w:rsidRPr="00BA09EE" w:rsidRDefault="00BA09EE" w:rsidP="00BA09EE">
      <w:pPr>
        <w:pStyle w:val="Odstavecseseznamem"/>
        <w:numPr>
          <w:ilvl w:val="0"/>
          <w:numId w:val="5"/>
        </w:numPr>
        <w:spacing w:after="160"/>
        <w:jc w:val="both"/>
        <w:rPr>
          <w:rFonts w:ascii="Times New Roman" w:hAnsi="Times New Roman"/>
          <w:sz w:val="20"/>
          <w:szCs w:val="20"/>
        </w:rPr>
      </w:pPr>
      <w:r w:rsidRPr="00BA09EE">
        <w:rPr>
          <w:rFonts w:ascii="Times New Roman" w:hAnsi="Times New Roman"/>
          <w:sz w:val="20"/>
          <w:szCs w:val="20"/>
        </w:rPr>
        <w:t>Diagnostika musí umožnit identifikaci použitého materiálu čárovými kódy</w:t>
      </w:r>
    </w:p>
    <w:p w14:paraId="61EC1557" w14:textId="47B267A8" w:rsidR="00BA09EE" w:rsidRDefault="00BA09EE" w:rsidP="00BA09EE">
      <w:pPr>
        <w:pStyle w:val="Odstavecseseznamem"/>
        <w:numPr>
          <w:ilvl w:val="0"/>
          <w:numId w:val="5"/>
        </w:numPr>
        <w:spacing w:after="160"/>
        <w:jc w:val="both"/>
        <w:rPr>
          <w:rFonts w:ascii="Times New Roman" w:hAnsi="Times New Roman"/>
          <w:sz w:val="20"/>
          <w:szCs w:val="20"/>
        </w:rPr>
      </w:pPr>
      <w:r w:rsidRPr="00BA09EE">
        <w:rPr>
          <w:rFonts w:ascii="Times New Roman" w:hAnsi="Times New Roman"/>
          <w:sz w:val="20"/>
          <w:szCs w:val="20"/>
        </w:rPr>
        <w:t>Veškerá diagnostika mají návody a bezpečnostní listy v českém jazyce</w:t>
      </w:r>
    </w:p>
    <w:p w14:paraId="25C93E9B" w14:textId="77777777" w:rsidR="00BA09EE" w:rsidRDefault="00BA09EE" w:rsidP="00BF7FED">
      <w:pPr>
        <w:pStyle w:val="Standard"/>
        <w:spacing w:before="6"/>
        <w:rPr>
          <w:kern w:val="0"/>
          <w:sz w:val="20"/>
          <w:szCs w:val="20"/>
          <w:u w:val="single"/>
        </w:rPr>
      </w:pPr>
    </w:p>
    <w:p w14:paraId="4ECA1955" w14:textId="3DC7670D" w:rsidR="00BF7FED" w:rsidRPr="00BF7FED" w:rsidRDefault="00BF7FED" w:rsidP="00BF7FED">
      <w:pPr>
        <w:pStyle w:val="Standard"/>
        <w:spacing w:before="6"/>
        <w:rPr>
          <w:kern w:val="0"/>
          <w:sz w:val="20"/>
          <w:szCs w:val="20"/>
          <w:u w:val="single"/>
        </w:rPr>
      </w:pPr>
      <w:r w:rsidRPr="00BF7FED">
        <w:rPr>
          <w:kern w:val="0"/>
          <w:sz w:val="20"/>
          <w:szCs w:val="20"/>
          <w:u w:val="single"/>
        </w:rPr>
        <w:t>Vázaný spotřební materiál:</w:t>
      </w:r>
    </w:p>
    <w:p w14:paraId="3A3A9ED5" w14:textId="77777777" w:rsidR="00BF7FED" w:rsidRPr="00BF7FED" w:rsidRDefault="00BF7FED" w:rsidP="00BF7FED">
      <w:pPr>
        <w:pStyle w:val="Standard"/>
        <w:spacing w:before="6"/>
        <w:rPr>
          <w:b/>
          <w:sz w:val="22"/>
          <w:szCs w:val="22"/>
          <w:u w:val="single"/>
        </w:rPr>
      </w:pP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2353"/>
        <w:gridCol w:w="6696"/>
      </w:tblGrid>
      <w:tr w:rsidR="00BF7FED" w:rsidRPr="00BF7FED" w14:paraId="40DC7365" w14:textId="77777777" w:rsidTr="001808E1">
        <w:tc>
          <w:tcPr>
            <w:tcW w:w="2353" w:type="dxa"/>
            <w:vMerge w:val="restart"/>
          </w:tcPr>
          <w:p w14:paraId="75EC19C2" w14:textId="77777777" w:rsidR="00BF7FED" w:rsidRPr="00FE7FA7" w:rsidRDefault="00BF7FED" w:rsidP="001808E1">
            <w:pPr>
              <w:pStyle w:val="Standard"/>
              <w:spacing w:before="6"/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</w:pPr>
            <w:bookmarkStart w:id="0" w:name="_Hlk182560827"/>
          </w:p>
        </w:tc>
        <w:tc>
          <w:tcPr>
            <w:tcW w:w="6696" w:type="dxa"/>
          </w:tcPr>
          <w:p w14:paraId="7DA51325" w14:textId="77777777" w:rsidR="00BF7FED" w:rsidRPr="00306C0A" w:rsidRDefault="00BF7FED" w:rsidP="001808E1">
            <w:pPr>
              <w:pStyle w:val="Standard"/>
              <w:spacing w:before="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6C0A">
              <w:rPr>
                <w:rFonts w:ascii="Times New Roman" w:hAnsi="Times New Roman" w:cs="Times New Roman"/>
                <w:b/>
                <w:sz w:val="20"/>
                <w:szCs w:val="20"/>
              </w:rPr>
              <w:t>Předpokládaný počet vyšetření za rok</w:t>
            </w:r>
          </w:p>
        </w:tc>
      </w:tr>
      <w:tr w:rsidR="00BA09EE" w:rsidRPr="00BF7FED" w14:paraId="2B23044D" w14:textId="77777777" w:rsidTr="0076631A">
        <w:tc>
          <w:tcPr>
            <w:tcW w:w="2353" w:type="dxa"/>
            <w:vMerge/>
          </w:tcPr>
          <w:p w14:paraId="6443B465" w14:textId="77777777" w:rsidR="00BA09EE" w:rsidRPr="00FE7FA7" w:rsidRDefault="00BA09EE" w:rsidP="001808E1">
            <w:pPr>
              <w:pStyle w:val="Standard"/>
              <w:spacing w:before="6"/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96" w:type="dxa"/>
            <w:vAlign w:val="center"/>
          </w:tcPr>
          <w:p w14:paraId="1D4CECBE" w14:textId="71C41A04" w:rsidR="00BA09EE" w:rsidRPr="00306C0A" w:rsidRDefault="00BA09EE" w:rsidP="001808E1">
            <w:pPr>
              <w:pStyle w:val="Standard"/>
              <w:spacing w:before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C0A">
              <w:rPr>
                <w:rFonts w:ascii="Times New Roman" w:hAnsi="Times New Roman" w:cs="Times New Roman"/>
                <w:sz w:val="20"/>
                <w:szCs w:val="20"/>
              </w:rPr>
              <w:t xml:space="preserve">Oddělení klinické biochemie – Krajská zdravotní, a.s. - Masarykova nemocnice v Ústí nad Labem, </w:t>
            </w:r>
            <w:proofErr w:type="spellStart"/>
            <w:r w:rsidRPr="00306C0A">
              <w:rPr>
                <w:rFonts w:ascii="Times New Roman" w:hAnsi="Times New Roman" w:cs="Times New Roman"/>
                <w:sz w:val="20"/>
                <w:szCs w:val="20"/>
              </w:rPr>
              <w:t>o.z</w:t>
            </w:r>
            <w:proofErr w:type="spellEnd"/>
            <w:r w:rsidRPr="00306C0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BA09EE" w:rsidRPr="00BF7FED" w14:paraId="2AEF9CF9" w14:textId="77777777" w:rsidTr="00586FCF">
        <w:tc>
          <w:tcPr>
            <w:tcW w:w="2353" w:type="dxa"/>
            <w:shd w:val="clear" w:color="auto" w:fill="auto"/>
            <w:vAlign w:val="bottom"/>
          </w:tcPr>
          <w:p w14:paraId="65EE46C2" w14:textId="39B236B3" w:rsidR="00BA09EE" w:rsidRPr="00FE7FA7" w:rsidRDefault="00FE7FA7" w:rsidP="00BF7FED">
            <w:pPr>
              <w:pStyle w:val="Standard"/>
              <w:spacing w:before="6"/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</w:pPr>
            <w:r w:rsidRPr="00FE7FA7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FLC kappa (sérum, plasma, moč)</w:t>
            </w:r>
          </w:p>
        </w:tc>
        <w:tc>
          <w:tcPr>
            <w:tcW w:w="6696" w:type="dxa"/>
            <w:vAlign w:val="center"/>
          </w:tcPr>
          <w:p w14:paraId="62B09276" w14:textId="33BB079C" w:rsidR="00BA09EE" w:rsidRPr="00FE7FA7" w:rsidRDefault="00FE7FA7" w:rsidP="00FE7FA7">
            <w:pPr>
              <w:pStyle w:val="Standard"/>
              <w:spacing w:before="6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</w:pPr>
            <w:r w:rsidRPr="00FE7FA7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4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 xml:space="preserve"> </w:t>
            </w:r>
            <w:r w:rsidRPr="00FE7FA7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000</w:t>
            </w:r>
          </w:p>
        </w:tc>
      </w:tr>
      <w:tr w:rsidR="00BA09EE" w:rsidRPr="00BF7FED" w14:paraId="66C013D4" w14:textId="77777777" w:rsidTr="00E643C5">
        <w:tc>
          <w:tcPr>
            <w:tcW w:w="2353" w:type="dxa"/>
            <w:shd w:val="clear" w:color="auto" w:fill="auto"/>
            <w:vAlign w:val="bottom"/>
          </w:tcPr>
          <w:p w14:paraId="3FC11831" w14:textId="2C0DB55F" w:rsidR="00BA09EE" w:rsidRPr="00FE7FA7" w:rsidRDefault="00FE7FA7" w:rsidP="00BF7FED">
            <w:pPr>
              <w:pStyle w:val="Standard"/>
              <w:spacing w:before="6"/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</w:pPr>
            <w:r w:rsidRPr="00FE7FA7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FLC lambda (sérum, plasma, moč)</w:t>
            </w:r>
          </w:p>
        </w:tc>
        <w:tc>
          <w:tcPr>
            <w:tcW w:w="6696" w:type="dxa"/>
            <w:vAlign w:val="center"/>
          </w:tcPr>
          <w:p w14:paraId="783A118C" w14:textId="29260C85" w:rsidR="00FE7FA7" w:rsidRPr="00FE7FA7" w:rsidRDefault="00FE7FA7" w:rsidP="00FE7FA7">
            <w:pPr>
              <w:pStyle w:val="Standard"/>
              <w:spacing w:before="6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</w:pPr>
            <w:r w:rsidRPr="00FE7FA7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3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 xml:space="preserve"> </w:t>
            </w:r>
            <w:r w:rsidRPr="00FE7FA7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500</w:t>
            </w:r>
          </w:p>
        </w:tc>
      </w:tr>
      <w:tr w:rsidR="00BA09EE" w:rsidRPr="00BF7FED" w14:paraId="66E9B6C9" w14:textId="77777777" w:rsidTr="00E32334">
        <w:tc>
          <w:tcPr>
            <w:tcW w:w="2353" w:type="dxa"/>
            <w:shd w:val="clear" w:color="auto" w:fill="auto"/>
            <w:vAlign w:val="bottom"/>
          </w:tcPr>
          <w:p w14:paraId="2556C600" w14:textId="75278B29" w:rsidR="00BA09EE" w:rsidRPr="00FE7FA7" w:rsidRDefault="00FE7FA7" w:rsidP="00BF7FED">
            <w:pPr>
              <w:pStyle w:val="Standard"/>
              <w:spacing w:before="6"/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</w:pPr>
            <w:r w:rsidRPr="00FE7FA7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B2-mikroglobulin (sérum, plasma, moč)</w:t>
            </w:r>
          </w:p>
        </w:tc>
        <w:tc>
          <w:tcPr>
            <w:tcW w:w="6696" w:type="dxa"/>
            <w:vAlign w:val="center"/>
          </w:tcPr>
          <w:p w14:paraId="6CB495F5" w14:textId="573BB89C" w:rsidR="00BA09EE" w:rsidRPr="00FE7FA7" w:rsidRDefault="00FE7FA7" w:rsidP="00FE7FA7">
            <w:pPr>
              <w:pStyle w:val="Standard"/>
              <w:spacing w:before="6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</w:pPr>
            <w:r w:rsidRPr="00FE7FA7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2</w:t>
            </w: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 xml:space="preserve"> </w:t>
            </w:r>
            <w:r w:rsidRPr="00FE7FA7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500</w:t>
            </w:r>
          </w:p>
        </w:tc>
      </w:tr>
      <w:tr w:rsidR="00FE7FA7" w:rsidRPr="00BF7FED" w14:paraId="5A23810A" w14:textId="77777777" w:rsidTr="00E32334">
        <w:tc>
          <w:tcPr>
            <w:tcW w:w="2353" w:type="dxa"/>
            <w:shd w:val="clear" w:color="auto" w:fill="auto"/>
            <w:vAlign w:val="bottom"/>
          </w:tcPr>
          <w:p w14:paraId="431C3409" w14:textId="747AE0F5" w:rsidR="00FE7FA7" w:rsidRPr="00FE7FA7" w:rsidRDefault="00FE7FA7" w:rsidP="00BF7FED">
            <w:pPr>
              <w:pStyle w:val="Standard"/>
              <w:spacing w:before="6"/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</w:pPr>
            <w:r w:rsidRPr="00FE7FA7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A2-makroglobulin (sérum, plasma, moč) </w:t>
            </w:r>
          </w:p>
        </w:tc>
        <w:tc>
          <w:tcPr>
            <w:tcW w:w="6696" w:type="dxa"/>
            <w:vAlign w:val="center"/>
          </w:tcPr>
          <w:p w14:paraId="2C0515D6" w14:textId="442F5A35" w:rsidR="00FE7FA7" w:rsidRPr="00FE7FA7" w:rsidRDefault="00FE7FA7" w:rsidP="00FE7FA7">
            <w:pPr>
              <w:pStyle w:val="Standard"/>
              <w:spacing w:before="6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</w:pPr>
            <w:r w:rsidRPr="00FE7FA7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100</w:t>
            </w:r>
          </w:p>
        </w:tc>
      </w:tr>
      <w:tr w:rsidR="00FE7FA7" w:rsidRPr="00BF7FED" w14:paraId="3D9A2349" w14:textId="77777777" w:rsidTr="00E32334">
        <w:tc>
          <w:tcPr>
            <w:tcW w:w="2353" w:type="dxa"/>
            <w:shd w:val="clear" w:color="auto" w:fill="auto"/>
            <w:vAlign w:val="bottom"/>
          </w:tcPr>
          <w:p w14:paraId="1F1A55B8" w14:textId="6582FF6E" w:rsidR="00FE7FA7" w:rsidRPr="00FE7FA7" w:rsidRDefault="00FE7FA7" w:rsidP="00BF7FED">
            <w:pPr>
              <w:pStyle w:val="Standard"/>
              <w:spacing w:before="6"/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</w:pPr>
            <w:r w:rsidRPr="00FE7FA7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A1-mikroglobulin (moč) </w:t>
            </w:r>
          </w:p>
        </w:tc>
        <w:tc>
          <w:tcPr>
            <w:tcW w:w="6696" w:type="dxa"/>
            <w:vAlign w:val="center"/>
          </w:tcPr>
          <w:p w14:paraId="50573BB3" w14:textId="5378FB85" w:rsidR="00FE7FA7" w:rsidRPr="00FE7FA7" w:rsidRDefault="00FE7FA7" w:rsidP="00FE7FA7">
            <w:pPr>
              <w:pStyle w:val="Standard"/>
              <w:spacing w:before="6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</w:pPr>
            <w:r w:rsidRPr="00FE7FA7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100</w:t>
            </w:r>
          </w:p>
        </w:tc>
      </w:tr>
      <w:tr w:rsidR="00FE7FA7" w:rsidRPr="00BF7FED" w14:paraId="16723B03" w14:textId="77777777" w:rsidTr="00E32334">
        <w:tc>
          <w:tcPr>
            <w:tcW w:w="2353" w:type="dxa"/>
            <w:shd w:val="clear" w:color="auto" w:fill="auto"/>
            <w:vAlign w:val="bottom"/>
          </w:tcPr>
          <w:p w14:paraId="5D487884" w14:textId="7BCCFDA7" w:rsidR="00FE7FA7" w:rsidRPr="00FE7FA7" w:rsidRDefault="00FE7FA7" w:rsidP="00BF7FED">
            <w:pPr>
              <w:pStyle w:val="Standard"/>
              <w:spacing w:before="6"/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</w:pPr>
            <w:r w:rsidRPr="00FE7FA7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Transferin (moč)</w:t>
            </w:r>
          </w:p>
        </w:tc>
        <w:tc>
          <w:tcPr>
            <w:tcW w:w="6696" w:type="dxa"/>
            <w:vAlign w:val="center"/>
          </w:tcPr>
          <w:p w14:paraId="4044475B" w14:textId="0A57B839" w:rsidR="00FE7FA7" w:rsidRPr="00FE7FA7" w:rsidRDefault="00FE7FA7" w:rsidP="00FE7FA7">
            <w:pPr>
              <w:pStyle w:val="Standard"/>
              <w:spacing w:before="6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</w:pPr>
            <w:r w:rsidRPr="00FE7FA7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100</w:t>
            </w:r>
          </w:p>
        </w:tc>
      </w:tr>
      <w:tr w:rsidR="00FE7FA7" w:rsidRPr="00BF7FED" w14:paraId="0DE59E22" w14:textId="77777777" w:rsidTr="00E32334">
        <w:tc>
          <w:tcPr>
            <w:tcW w:w="2353" w:type="dxa"/>
            <w:shd w:val="clear" w:color="auto" w:fill="auto"/>
            <w:vAlign w:val="bottom"/>
          </w:tcPr>
          <w:p w14:paraId="70AFF7F6" w14:textId="1E62827E" w:rsidR="00FE7FA7" w:rsidRPr="00FE7FA7" w:rsidRDefault="00FE7FA7" w:rsidP="00BF7FED">
            <w:pPr>
              <w:pStyle w:val="Standard"/>
              <w:spacing w:before="6"/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</w:pPr>
            <w:proofErr w:type="spellStart"/>
            <w:r w:rsidRPr="00FE7FA7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IgG</w:t>
            </w:r>
            <w:proofErr w:type="spellEnd"/>
            <w:r w:rsidRPr="00FE7FA7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 xml:space="preserve"> (moč)</w:t>
            </w:r>
          </w:p>
        </w:tc>
        <w:tc>
          <w:tcPr>
            <w:tcW w:w="6696" w:type="dxa"/>
            <w:vAlign w:val="center"/>
          </w:tcPr>
          <w:p w14:paraId="29C88D68" w14:textId="7418E04E" w:rsidR="00FE7FA7" w:rsidRPr="00FE7FA7" w:rsidRDefault="00FE7FA7" w:rsidP="00FE7FA7">
            <w:pPr>
              <w:pStyle w:val="Standard"/>
              <w:spacing w:before="6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</w:pPr>
            <w:r w:rsidRPr="00FE7FA7">
              <w:rPr>
                <w:rFonts w:ascii="Times New Roman" w:eastAsia="Calibri" w:hAnsi="Times New Roman" w:cs="Times New Roman"/>
                <w:kern w:val="0"/>
                <w:sz w:val="20"/>
                <w:szCs w:val="20"/>
              </w:rPr>
              <w:t>100</w:t>
            </w:r>
          </w:p>
        </w:tc>
      </w:tr>
      <w:bookmarkEnd w:id="0"/>
    </w:tbl>
    <w:p w14:paraId="603C0E37" w14:textId="77777777" w:rsidR="00BF7FED" w:rsidRPr="00BF7FED" w:rsidRDefault="00BF7FED" w:rsidP="00BF7FED">
      <w:pPr>
        <w:pStyle w:val="Standard"/>
        <w:spacing w:before="6"/>
        <w:ind w:left="1440"/>
        <w:rPr>
          <w:sz w:val="22"/>
          <w:szCs w:val="22"/>
        </w:rPr>
      </w:pPr>
    </w:p>
    <w:p w14:paraId="3461ECDC" w14:textId="7CDDB37F" w:rsidR="00BF7FED" w:rsidRPr="003572BA" w:rsidRDefault="00BF7FED" w:rsidP="00BF7FED">
      <w:pPr>
        <w:pStyle w:val="Standard"/>
        <w:numPr>
          <w:ilvl w:val="1"/>
          <w:numId w:val="7"/>
        </w:numPr>
        <w:spacing w:before="6"/>
        <w:rPr>
          <w:rFonts w:eastAsiaTheme="minorHAnsi"/>
          <w:kern w:val="0"/>
          <w:sz w:val="20"/>
          <w:szCs w:val="20"/>
          <w:lang w:eastAsia="en-US"/>
        </w:rPr>
      </w:pPr>
      <w:r w:rsidRPr="003572BA">
        <w:rPr>
          <w:rFonts w:eastAsiaTheme="minorHAnsi"/>
          <w:kern w:val="0"/>
          <w:sz w:val="20"/>
          <w:szCs w:val="20"/>
          <w:lang w:eastAsia="en-US"/>
        </w:rPr>
        <w:t>Úplný návod k použití (příbalové letáky) v českém jazyce</w:t>
      </w:r>
    </w:p>
    <w:p w14:paraId="2BC882AC" w14:textId="44F9BE53" w:rsidR="00BF7FED" w:rsidRPr="003572BA" w:rsidRDefault="00BF7FED" w:rsidP="00BF7FED">
      <w:pPr>
        <w:pStyle w:val="Standard"/>
        <w:numPr>
          <w:ilvl w:val="1"/>
          <w:numId w:val="7"/>
        </w:numPr>
        <w:spacing w:before="6"/>
        <w:rPr>
          <w:rFonts w:eastAsiaTheme="minorHAnsi"/>
          <w:kern w:val="0"/>
          <w:sz w:val="20"/>
          <w:szCs w:val="20"/>
          <w:lang w:eastAsia="en-US"/>
        </w:rPr>
      </w:pPr>
      <w:r w:rsidRPr="003572BA">
        <w:rPr>
          <w:rFonts w:eastAsiaTheme="minorHAnsi"/>
          <w:kern w:val="0"/>
          <w:sz w:val="20"/>
          <w:szCs w:val="20"/>
          <w:lang w:eastAsia="en-US"/>
        </w:rPr>
        <w:t xml:space="preserve">Ke každé dodané šarži </w:t>
      </w:r>
      <w:r w:rsidR="00E40715">
        <w:rPr>
          <w:rFonts w:eastAsiaTheme="minorHAnsi"/>
          <w:kern w:val="0"/>
          <w:sz w:val="20"/>
          <w:szCs w:val="20"/>
          <w:lang w:eastAsia="en-US"/>
        </w:rPr>
        <w:t>doložení</w:t>
      </w:r>
      <w:r w:rsidRPr="003572BA">
        <w:rPr>
          <w:rFonts w:eastAsiaTheme="minorHAnsi"/>
          <w:kern w:val="0"/>
          <w:sz w:val="20"/>
          <w:szCs w:val="20"/>
          <w:lang w:eastAsia="en-US"/>
        </w:rPr>
        <w:t xml:space="preserve"> provedení výstupní kontroly</w:t>
      </w:r>
    </w:p>
    <w:p w14:paraId="40FB041F" w14:textId="6F8F378E" w:rsidR="00BF7FED" w:rsidRPr="003572BA" w:rsidRDefault="00BF7FED" w:rsidP="00BF7FED">
      <w:pPr>
        <w:pStyle w:val="Standard"/>
        <w:numPr>
          <w:ilvl w:val="1"/>
          <w:numId w:val="7"/>
        </w:numPr>
        <w:spacing w:before="6"/>
        <w:rPr>
          <w:rFonts w:eastAsiaTheme="minorHAnsi"/>
          <w:kern w:val="0"/>
          <w:sz w:val="20"/>
          <w:szCs w:val="20"/>
          <w:lang w:eastAsia="en-US"/>
        </w:rPr>
      </w:pPr>
      <w:r w:rsidRPr="003572BA">
        <w:rPr>
          <w:rFonts w:eastAsiaTheme="minorHAnsi"/>
          <w:kern w:val="0"/>
          <w:sz w:val="20"/>
          <w:szCs w:val="20"/>
          <w:lang w:eastAsia="en-US"/>
        </w:rPr>
        <w:t>Dodací lhůty spotřebního materiálu jsou maximálně 10 dnů od data objednávky</w:t>
      </w:r>
    </w:p>
    <w:sectPr w:rsidR="00BF7FED" w:rsidRPr="003572BA">
      <w:headerReference w:type="default" r:id="rId9"/>
      <w:footerReference w:type="default" r:id="rId10"/>
      <w:pgSz w:w="11906" w:h="16838" w:code="9"/>
      <w:pgMar w:top="2552" w:right="991" w:bottom="1134" w:left="851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DDA59" w14:textId="77777777" w:rsidR="00F95417" w:rsidRDefault="00F95417">
      <w:r>
        <w:separator/>
      </w:r>
    </w:p>
  </w:endnote>
  <w:endnote w:type="continuationSeparator" w:id="0">
    <w:p w14:paraId="31172D19" w14:textId="77777777" w:rsidR="00F95417" w:rsidRDefault="00F95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etaCE">
    <w:altName w:val="Segoe UI"/>
    <w:charset w:val="EE"/>
    <w:family w:val="auto"/>
    <w:pitch w:val="variable"/>
    <w:sig w:usb0="00000001" w:usb1="50000048" w:usb2="00000000" w:usb3="00000000" w:csb0="0000011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8CE3A" w14:textId="77777777" w:rsidR="003743D8" w:rsidRDefault="004E79F7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>
      <w:rPr>
        <w:rFonts w:ascii="MetaCE" w:hAnsi="MetaCE"/>
        <w:noProof/>
        <w:sz w:val="14"/>
        <w:szCs w:val="14"/>
      </w:rPr>
      <w:t>2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>
      <w:rPr>
        <w:rFonts w:ascii="MetaCE" w:hAnsi="MetaCE"/>
        <w:noProof/>
        <w:sz w:val="14"/>
        <w:szCs w:val="14"/>
      </w:rPr>
      <w:t>3</w:t>
    </w:r>
    <w:r>
      <w:rPr>
        <w:rFonts w:ascii="MetaCE" w:hAnsi="MetaCE"/>
        <w:sz w:val="14"/>
        <w:szCs w:val="14"/>
      </w:rPr>
      <w:fldChar w:fldCharType="end"/>
    </w:r>
  </w:p>
  <w:p w14:paraId="66AC4ACE" w14:textId="77777777" w:rsidR="003743D8" w:rsidRDefault="003743D8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14:paraId="7ABEA277" w14:textId="77777777" w:rsidR="003743D8" w:rsidRDefault="003743D8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DFA88" w14:textId="77777777" w:rsidR="00F95417" w:rsidRDefault="00F95417">
      <w:r>
        <w:separator/>
      </w:r>
    </w:p>
  </w:footnote>
  <w:footnote w:type="continuationSeparator" w:id="0">
    <w:p w14:paraId="680E7A10" w14:textId="77777777" w:rsidR="00F95417" w:rsidRDefault="00F954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36965" w14:textId="77777777" w:rsidR="003743D8" w:rsidRDefault="004E79F7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 wp14:anchorId="1D0ADA38" wp14:editId="44624FAA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1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B7DE8"/>
    <w:multiLevelType w:val="hybridMultilevel"/>
    <w:tmpl w:val="0B5AE8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CA6709"/>
    <w:multiLevelType w:val="hybridMultilevel"/>
    <w:tmpl w:val="C8AAA9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B3FBC"/>
    <w:multiLevelType w:val="hybridMultilevel"/>
    <w:tmpl w:val="DFFA34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90438D"/>
    <w:multiLevelType w:val="hybridMultilevel"/>
    <w:tmpl w:val="D5103D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550F61"/>
    <w:multiLevelType w:val="hybridMultilevel"/>
    <w:tmpl w:val="146A9386"/>
    <w:lvl w:ilvl="0" w:tplc="0BD40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AE75AA"/>
    <w:multiLevelType w:val="hybridMultilevel"/>
    <w:tmpl w:val="A640770A"/>
    <w:lvl w:ilvl="0" w:tplc="4E403ED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2B009B"/>
    <w:multiLevelType w:val="hybridMultilevel"/>
    <w:tmpl w:val="D48EFF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677A6B"/>
    <w:multiLevelType w:val="hybridMultilevel"/>
    <w:tmpl w:val="7B5E23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3D8"/>
    <w:rsid w:val="000310A1"/>
    <w:rsid w:val="000855FF"/>
    <w:rsid w:val="00145C7E"/>
    <w:rsid w:val="001D58F4"/>
    <w:rsid w:val="00227FAC"/>
    <w:rsid w:val="00251E31"/>
    <w:rsid w:val="002864EE"/>
    <w:rsid w:val="002E5B08"/>
    <w:rsid w:val="00306C0A"/>
    <w:rsid w:val="0033663D"/>
    <w:rsid w:val="003514EB"/>
    <w:rsid w:val="003572BA"/>
    <w:rsid w:val="003743D8"/>
    <w:rsid w:val="00387E7F"/>
    <w:rsid w:val="00395F99"/>
    <w:rsid w:val="003D35CD"/>
    <w:rsid w:val="00400A3F"/>
    <w:rsid w:val="004372F9"/>
    <w:rsid w:val="004D46F3"/>
    <w:rsid w:val="004E069A"/>
    <w:rsid w:val="004E79F7"/>
    <w:rsid w:val="004F3E62"/>
    <w:rsid w:val="004F5D5E"/>
    <w:rsid w:val="00535C05"/>
    <w:rsid w:val="0056336E"/>
    <w:rsid w:val="005D319A"/>
    <w:rsid w:val="006F7AD2"/>
    <w:rsid w:val="008661D1"/>
    <w:rsid w:val="00892B92"/>
    <w:rsid w:val="008D45B4"/>
    <w:rsid w:val="008D7D8A"/>
    <w:rsid w:val="00987A40"/>
    <w:rsid w:val="009D52FB"/>
    <w:rsid w:val="00A11542"/>
    <w:rsid w:val="00A17B45"/>
    <w:rsid w:val="00A53B49"/>
    <w:rsid w:val="00B61FE6"/>
    <w:rsid w:val="00BA09EE"/>
    <w:rsid w:val="00BE43F4"/>
    <w:rsid w:val="00BF7FED"/>
    <w:rsid w:val="00C54590"/>
    <w:rsid w:val="00D81D18"/>
    <w:rsid w:val="00E40715"/>
    <w:rsid w:val="00F01DAA"/>
    <w:rsid w:val="00F22389"/>
    <w:rsid w:val="00F95417"/>
    <w:rsid w:val="00FD1043"/>
    <w:rsid w:val="00FE7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EA2D03A"/>
  <w15:chartTrackingRefBased/>
  <w15:docId w15:val="{FF636057-6890-4AE1-AD06-D38C2D36B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ascii="Arial" w:eastAsiaTheme="majorEastAsia" w:hAnsi="Arial" w:cstheme="majorBidi"/>
      <w:b/>
      <w:color w:val="00A7F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rFonts w:ascii="Arial" w:hAnsi="Arial"/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character" w:customStyle="1" w:styleId="ZhlavChar">
    <w:name w:val="Záhlaví Char"/>
    <w:basedOn w:val="Standardnpsmoodstavce"/>
    <w:link w:val="Zhlav"/>
    <w:uiPriority w:val="99"/>
    <w:qFormat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rPr>
      <w:rFonts w:ascii="Arial" w:hAnsi="Arial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qFormat/>
    <w:locked/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Pr>
      <w:b/>
      <w:bCs/>
    </w:rPr>
  </w:style>
  <w:style w:type="paragraph" w:styleId="Revize">
    <w:name w:val="Revision"/>
    <w:hidden/>
    <w:uiPriority w:val="99"/>
    <w:semiHidden/>
    <w:rPr>
      <w:sz w:val="24"/>
      <w:szCs w:val="24"/>
    </w:rPr>
  </w:style>
  <w:style w:type="paragraph" w:customStyle="1" w:styleId="Standard">
    <w:name w:val="Standard"/>
    <w:rsid w:val="00BF7FED"/>
    <w:pPr>
      <w:suppressAutoHyphens/>
      <w:autoSpaceDN w:val="0"/>
      <w:textAlignment w:val="baseline"/>
    </w:pPr>
    <w:rPr>
      <w:kern w:val="3"/>
      <w:sz w:val="24"/>
      <w:szCs w:val="24"/>
    </w:rPr>
  </w:style>
  <w:style w:type="table" w:styleId="Mkatabulky">
    <w:name w:val="Table Grid"/>
    <w:basedOn w:val="Normlntabulka"/>
    <w:uiPriority w:val="39"/>
    <w:rsid w:val="00BF7FE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zcr.eu/cz/kz/pro-odborniky/informace-pro-projektanty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3951B0-7FD3-47C8-AD6C-933F9EC0A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</Template>
  <TotalTime>2</TotalTime>
  <Pages>2</Pages>
  <Words>575</Words>
  <Characters>3393</Characters>
  <Application>Microsoft Office Word</Application>
  <DocSecurity>0</DocSecurity>
  <Lines>28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Králíčková Michaela</cp:lastModifiedBy>
  <cp:revision>5</cp:revision>
  <cp:lastPrinted>2024-10-08T10:25:00Z</cp:lastPrinted>
  <dcterms:created xsi:type="dcterms:W3CDTF">2025-05-12T10:29:00Z</dcterms:created>
  <dcterms:modified xsi:type="dcterms:W3CDTF">2025-05-13T17:43:00Z</dcterms:modified>
</cp:coreProperties>
</file>