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xml:space="preserve">), spis. </w:t>
      </w:r>
      <w:proofErr w:type="gramStart"/>
      <w:r>
        <w:rPr>
          <w:rFonts w:ascii="Arial" w:hAnsi="Arial" w:cs="Arial"/>
        </w:rPr>
        <w:t>zn.</w:t>
      </w:r>
      <w:proofErr w:type="gramEnd"/>
      <w:r>
        <w:rPr>
          <w:rFonts w:ascii="Arial" w:hAnsi="Arial" w:cs="Arial"/>
        </w:rPr>
        <w:t xml:space="preserve">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p>
    <w:p>
      <w:pPr>
        <w:tabs>
          <w:tab w:val="left" w:pos="2835"/>
        </w:tabs>
        <w:autoSpaceDE w:val="0"/>
        <w:autoSpaceDN w:val="0"/>
        <w:adjustRightInd w:val="0"/>
        <w:spacing w:line="276" w:lineRule="auto"/>
        <w:ind w:left="0" w:hanging="5"/>
        <w:rPr>
          <w:rFonts w:ascii="Arial" w:hAnsi="Arial" w:cs="Arial"/>
          <w:b/>
        </w:rPr>
      </w:pPr>
      <w:r>
        <w:rPr>
          <w:rFonts w:ascii="Arial" w:hAnsi="Arial" w:cs="Arial"/>
          <w:b/>
        </w:rPr>
        <w:t>Krajská zdravotní, a.s.</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w:t>
      </w:r>
      <w:proofErr w:type="gramStart"/>
      <w:r>
        <w:rPr>
          <w:rFonts w:ascii="Arial" w:hAnsi="Arial" w:cs="Arial"/>
        </w:rPr>
        <w:t>zn.</w:t>
      </w:r>
      <w:proofErr w:type="gramEnd"/>
      <w:r>
        <w:rPr>
          <w:rFonts w:ascii="Arial" w:hAnsi="Arial" w:cs="Arial"/>
        </w:rPr>
        <w:t xml:space="preserve">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Jiřím Laštůvkou, zmocněným k výkonu funkce generálního ředitele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3: Dodávka ultrazvukových přístrojů pro MNUL, NEMCV, NEMTP, NEMDC“</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lastRenderedPageBreak/>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t>Přesná specifikace zboží je uvedena v příloze č. 1 této smlouvy – Nabídka č. (</w:t>
      </w:r>
      <w:r>
        <w:rPr>
          <w:rFonts w:ascii="Arial" w:hAnsi="Arial" w:cs="Arial"/>
          <w:color w:val="00B0F0"/>
        </w:rPr>
        <w:t>doplní prodávající</w:t>
      </w:r>
      <w:r>
        <w:rPr>
          <w:rFonts w:ascii="Arial" w:hAnsi="Arial" w:cs="Arial"/>
        </w:rPr>
        <w:t xml:space="preserve">) </w:t>
      </w:r>
      <w:r>
        <w:rPr>
          <w:rFonts w:ascii="Arial" w:hAnsi="Arial" w:cs="Arial"/>
        </w:rPr>
        <w:br/>
        <w:t>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likvidace obalového materiálu.</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tabs>
          <w:tab w:val="left" w:pos="426"/>
        </w:tabs>
        <w:spacing w:line="276" w:lineRule="auto"/>
        <w:ind w:left="426" w:firstLine="0"/>
        <w:rPr>
          <w:rFonts w:ascii="Arial" w:hAnsi="Arial" w:cs="Arial"/>
        </w:rPr>
      </w:pPr>
      <w:bookmarkStart w:id="0" w:name="_GoBack"/>
      <w:bookmarkEnd w:id="0"/>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která plyne z přílohy č. 2 této smlouvy.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spacing w:line="276" w:lineRule="auto"/>
        <w:rPr>
          <w:rFonts w:ascii="Arial" w:hAnsi="Arial" w:cs="Arial"/>
        </w:rPr>
      </w:pPr>
      <w:r>
        <w:rPr>
          <w:rFonts w:ascii="Arial" w:hAnsi="Arial" w:cs="Arial"/>
        </w:rPr>
        <w:t>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w:t>
      </w:r>
      <w:r>
        <w:rPr>
          <w:rFonts w:ascii="Arial" w:hAnsi="Arial" w:cs="Arial"/>
          <w:snapToGrid w:val="0"/>
        </w:rPr>
        <w:t>.</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Každý daňový doklad (faktura) musí být vystaven v souladu s </w:t>
      </w:r>
      <w:proofErr w:type="spellStart"/>
      <w:r>
        <w:rPr>
          <w:rFonts w:ascii="Arial" w:hAnsi="Arial" w:cs="Arial"/>
          <w:color w:val="000000"/>
        </w:rPr>
        <w:t>ust</w:t>
      </w:r>
      <w:proofErr w:type="spellEnd"/>
      <w:r>
        <w:rPr>
          <w:rFonts w:ascii="Arial" w:hAnsi="Arial" w:cs="Arial"/>
          <w:color w:val="000000"/>
        </w:rPr>
        <w:t xml:space="preserve">. § 28 zákona č. 235/2004 Sb., o dani z přidané hodnoty, ve znění pozdějších předpisů (dále jen “zákon o DPH“), a vedle náležitostí dle </w:t>
      </w:r>
      <w:proofErr w:type="spellStart"/>
      <w:r>
        <w:rPr>
          <w:rFonts w:ascii="Arial" w:hAnsi="Arial" w:cs="Arial"/>
          <w:color w:val="000000"/>
        </w:rPr>
        <w:t>ust</w:t>
      </w:r>
      <w:proofErr w:type="spellEnd"/>
      <w:r>
        <w:rPr>
          <w:rFonts w:ascii="Arial" w:hAnsi="Arial" w:cs="Arial"/>
          <w:color w:val="000000"/>
        </w:rPr>
        <w:t xml:space="preserve">. </w:t>
      </w:r>
      <w:r>
        <w:rPr>
          <w:rFonts w:ascii="Arial" w:hAnsi="Arial" w:cs="Arial"/>
          <w:color w:val="000000"/>
        </w:rPr>
        <w:br/>
        <w:t xml:space="preserve">§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lastRenderedPageBreak/>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Prodávající je oprávněn vystavit daňový doklad (fakturu) až po řádném předání zboží kupujícímu, jak je definováno v čl. III. odst. 2. a 3. smlouvy, a to na základě protokolu o předání zboží 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w:t>
      </w:r>
      <w:r>
        <w:rPr>
          <w:rFonts w:ascii="Arial" w:hAnsi="Arial" w:cs="Arial"/>
        </w:rPr>
        <w:br/>
        <w:t xml:space="preserve">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8 týdnů</w:t>
      </w:r>
      <w:r>
        <w:rPr>
          <w:rFonts w:ascii="Arial" w:hAnsi="Arial" w:cs="Arial"/>
        </w:rPr>
        <w:t xml:space="preserve"> 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r>
        <w:rPr>
          <w:rFonts w:ascii="Arial" w:eastAsia="Arial" w:hAnsi="Arial" w:cs="Arial"/>
        </w:rPr>
        <w:t xml:space="preserve">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i/>
        </w:rPr>
      </w:pPr>
      <w:r>
        <w:rPr>
          <w:rFonts w:ascii="Arial" w:hAnsi="Arial" w:cs="Arial"/>
          <w:i/>
        </w:rPr>
        <w:t>dodání zboží na adresu:</w:t>
      </w:r>
    </w:p>
    <w:p>
      <w:pPr>
        <w:pStyle w:val="Odstavecseseznamem"/>
        <w:ind w:left="1077" w:firstLine="57"/>
        <w:rPr>
          <w:rFonts w:ascii="Arial" w:hAnsi="Arial"/>
        </w:rPr>
      </w:pPr>
      <w:r>
        <w:rPr>
          <w:rFonts w:ascii="Arial" w:hAnsi="Arial"/>
        </w:rPr>
        <w:t xml:space="preserve">Krajská zdravotní, a.s. – Nemocnice Chomutov, </w:t>
      </w:r>
      <w:proofErr w:type="spellStart"/>
      <w:r>
        <w:rPr>
          <w:rFonts w:ascii="Arial" w:hAnsi="Arial"/>
        </w:rPr>
        <w:t>o.z</w:t>
      </w:r>
      <w:proofErr w:type="spellEnd"/>
      <w:r>
        <w:rPr>
          <w:rFonts w:ascii="Arial" w:hAnsi="Arial"/>
        </w:rPr>
        <w:t>. (1 ks)</w:t>
      </w:r>
    </w:p>
    <w:p>
      <w:pPr>
        <w:pStyle w:val="Odstavecseseznamem"/>
        <w:ind w:left="1077" w:firstLine="57"/>
        <w:rPr>
          <w:rFonts w:ascii="Arial" w:hAnsi="Arial"/>
        </w:rPr>
      </w:pPr>
      <w:r>
        <w:rPr>
          <w:rFonts w:ascii="Arial" w:hAnsi="Arial"/>
        </w:rPr>
        <w:t>Urgentní příjem</w:t>
      </w:r>
    </w:p>
    <w:p>
      <w:pPr>
        <w:pStyle w:val="Odstavecseseznamem"/>
        <w:ind w:left="1077" w:firstLine="57"/>
        <w:rPr>
          <w:rFonts w:ascii="Arial" w:hAnsi="Arial"/>
        </w:rPr>
      </w:pPr>
      <w:r>
        <w:rPr>
          <w:rFonts w:ascii="Arial" w:hAnsi="Arial"/>
        </w:rPr>
        <w:t>Kochova 1185</w:t>
      </w:r>
    </w:p>
    <w:p>
      <w:pPr>
        <w:pStyle w:val="Odstavecseseznamem"/>
        <w:ind w:left="1077" w:firstLine="57"/>
        <w:rPr>
          <w:rFonts w:ascii="Arial" w:hAnsi="Arial"/>
        </w:rPr>
      </w:pPr>
      <w:r>
        <w:rPr>
          <w:rFonts w:ascii="Arial" w:hAnsi="Arial"/>
        </w:rPr>
        <w:t>430 12 Chomutov</w:t>
      </w:r>
    </w:p>
    <w:p>
      <w:pPr>
        <w:pStyle w:val="Odstavecseseznamem"/>
        <w:ind w:left="1077" w:firstLine="57"/>
        <w:rPr>
          <w:rFonts w:ascii="Arial" w:hAnsi="Arial" w:cs="Arial"/>
        </w:rPr>
      </w:pPr>
      <w:r>
        <w:rPr>
          <w:rFonts w:ascii="Arial" w:hAnsi="Arial"/>
        </w:rPr>
        <w:t>a</w:t>
      </w:r>
    </w:p>
    <w:p>
      <w:pPr>
        <w:ind w:left="1134" w:firstLine="0"/>
        <w:rPr>
          <w:rFonts w:ascii="Arial" w:hAnsi="Arial" w:cs="Arial"/>
          <w:bCs/>
          <w:color w:val="000000"/>
        </w:rPr>
      </w:pPr>
      <w:r>
        <w:rPr>
          <w:rFonts w:ascii="Arial" w:hAnsi="Arial" w:cs="Arial"/>
          <w:bCs/>
          <w:color w:val="000000"/>
        </w:rPr>
        <w:t xml:space="preserve">Krajská zdravotní, a.s. – Masarykova nemocnice v Ústí nad Labem, </w:t>
      </w:r>
      <w:proofErr w:type="spellStart"/>
      <w:r>
        <w:rPr>
          <w:rFonts w:ascii="Arial" w:hAnsi="Arial" w:cs="Arial"/>
          <w:bCs/>
          <w:color w:val="000000"/>
        </w:rPr>
        <w:t>o.z</w:t>
      </w:r>
      <w:proofErr w:type="spellEnd"/>
      <w:r>
        <w:rPr>
          <w:rFonts w:ascii="Arial" w:hAnsi="Arial" w:cs="Arial"/>
          <w:bCs/>
          <w:color w:val="000000"/>
        </w:rPr>
        <w:t>. (1ks )</w:t>
      </w:r>
    </w:p>
    <w:p>
      <w:pPr>
        <w:ind w:left="1134" w:firstLine="0"/>
        <w:rPr>
          <w:rFonts w:ascii="Arial" w:hAnsi="Arial" w:cs="Arial"/>
          <w:bCs/>
          <w:color w:val="000000"/>
        </w:rPr>
      </w:pPr>
      <w:proofErr w:type="spellStart"/>
      <w:r>
        <w:rPr>
          <w:rFonts w:ascii="Arial" w:hAnsi="Arial" w:cs="Arial"/>
          <w:bCs/>
          <w:color w:val="000000"/>
        </w:rPr>
        <w:t>Emergency</w:t>
      </w:r>
      <w:proofErr w:type="spellEnd"/>
    </w:p>
    <w:p>
      <w:pPr>
        <w:ind w:left="1134" w:firstLine="0"/>
        <w:rPr>
          <w:rFonts w:ascii="Arial" w:hAnsi="Arial" w:cs="Arial"/>
          <w:bCs/>
          <w:color w:val="000000"/>
        </w:rPr>
      </w:pPr>
      <w:r>
        <w:rPr>
          <w:rFonts w:ascii="Arial" w:hAnsi="Arial" w:cs="Arial"/>
          <w:bCs/>
          <w:color w:val="000000"/>
        </w:rPr>
        <w:t>Sociální péče 3316/12a</w:t>
      </w:r>
    </w:p>
    <w:p>
      <w:pPr>
        <w:ind w:left="1134" w:firstLine="0"/>
        <w:rPr>
          <w:rFonts w:ascii="Arial" w:hAnsi="Arial" w:cs="Arial"/>
          <w:bCs/>
          <w:color w:val="000000"/>
        </w:rPr>
      </w:pPr>
      <w:r>
        <w:rPr>
          <w:rFonts w:ascii="Arial" w:hAnsi="Arial" w:cs="Arial"/>
          <w:bCs/>
          <w:color w:val="000000"/>
        </w:rPr>
        <w:t>401 13 Ústí nad Labem</w:t>
      </w:r>
    </w:p>
    <w:p>
      <w:pPr>
        <w:ind w:left="1134" w:firstLine="0"/>
        <w:rPr>
          <w:rFonts w:ascii="Arial" w:hAnsi="Arial" w:cs="Arial"/>
          <w:bCs/>
          <w:color w:val="000000"/>
        </w:rPr>
      </w:pPr>
      <w:r>
        <w:rPr>
          <w:rFonts w:ascii="Arial" w:hAnsi="Arial" w:cs="Arial"/>
          <w:bCs/>
          <w:color w:val="000000"/>
        </w:rPr>
        <w:t>a</w:t>
      </w:r>
    </w:p>
    <w:p>
      <w:pPr>
        <w:ind w:left="1134" w:firstLine="0"/>
        <w:rPr>
          <w:rFonts w:ascii="Arial" w:hAnsi="Arial" w:cs="Arial"/>
          <w:bCs/>
          <w:color w:val="000000"/>
        </w:rPr>
      </w:pPr>
    </w:p>
    <w:p>
      <w:pPr>
        <w:ind w:left="1134" w:firstLine="0"/>
        <w:rPr>
          <w:rFonts w:ascii="Arial" w:hAnsi="Arial" w:cs="Arial"/>
          <w:bCs/>
          <w:color w:val="000000"/>
        </w:rPr>
      </w:pPr>
      <w:r>
        <w:rPr>
          <w:rFonts w:ascii="Arial" w:hAnsi="Arial" w:cs="Arial"/>
          <w:bCs/>
          <w:color w:val="000000"/>
        </w:rPr>
        <w:t xml:space="preserve">Krajská zdravotní, a.s. – Nemocnice Děčín, </w:t>
      </w:r>
      <w:proofErr w:type="spellStart"/>
      <w:r>
        <w:rPr>
          <w:rFonts w:ascii="Arial" w:hAnsi="Arial" w:cs="Arial"/>
          <w:bCs/>
          <w:color w:val="000000"/>
        </w:rPr>
        <w:t>o.z</w:t>
      </w:r>
      <w:proofErr w:type="spellEnd"/>
      <w:r>
        <w:rPr>
          <w:rFonts w:ascii="Arial" w:hAnsi="Arial" w:cs="Arial"/>
          <w:bCs/>
          <w:color w:val="000000"/>
        </w:rPr>
        <w:t>. (2 ks)</w:t>
      </w:r>
    </w:p>
    <w:p>
      <w:pPr>
        <w:ind w:left="1134" w:firstLine="0"/>
        <w:rPr>
          <w:rFonts w:ascii="Arial" w:hAnsi="Arial" w:cs="Arial"/>
          <w:bCs/>
          <w:color w:val="000000"/>
        </w:rPr>
      </w:pPr>
      <w:r>
        <w:rPr>
          <w:rFonts w:ascii="Arial" w:hAnsi="Arial" w:cs="Arial"/>
          <w:bCs/>
          <w:color w:val="000000"/>
        </w:rPr>
        <w:t>Urgentní příjem</w:t>
      </w:r>
    </w:p>
    <w:p>
      <w:pPr>
        <w:ind w:left="1134" w:firstLine="0"/>
        <w:rPr>
          <w:rFonts w:ascii="Arial" w:hAnsi="Arial" w:cs="Arial"/>
          <w:bCs/>
          <w:color w:val="000000"/>
        </w:rPr>
      </w:pPr>
      <w:r>
        <w:rPr>
          <w:rFonts w:ascii="Arial" w:hAnsi="Arial" w:cs="Arial"/>
          <w:bCs/>
          <w:color w:val="000000"/>
        </w:rPr>
        <w:lastRenderedPageBreak/>
        <w:t>U Nemocnice 1</w:t>
      </w:r>
    </w:p>
    <w:p>
      <w:pPr>
        <w:ind w:left="1134" w:firstLine="0"/>
        <w:rPr>
          <w:rFonts w:ascii="Arial" w:hAnsi="Arial" w:cs="Arial"/>
          <w:bCs/>
          <w:color w:val="000000"/>
        </w:rPr>
      </w:pPr>
      <w:r>
        <w:rPr>
          <w:rFonts w:ascii="Arial" w:hAnsi="Arial" w:cs="Arial"/>
          <w:bCs/>
          <w:color w:val="000000"/>
        </w:rPr>
        <w:t>405 99 Děčín II</w:t>
      </w:r>
    </w:p>
    <w:p>
      <w:pPr>
        <w:ind w:left="1134" w:firstLine="0"/>
        <w:rPr>
          <w:rFonts w:ascii="Arial" w:hAnsi="Arial" w:cs="Arial"/>
          <w:bCs/>
          <w:color w:val="000000"/>
        </w:rPr>
      </w:pPr>
      <w:r>
        <w:rPr>
          <w:rFonts w:ascii="Arial" w:hAnsi="Arial" w:cs="Arial"/>
          <w:bCs/>
          <w:color w:val="000000"/>
        </w:rPr>
        <w:t>a</w:t>
      </w:r>
    </w:p>
    <w:p>
      <w:pPr>
        <w:pStyle w:val="Odstavecseseznamem"/>
        <w:spacing w:after="300"/>
        <w:ind w:left="1134" w:firstLine="0"/>
        <w:rPr>
          <w:rFonts w:ascii="Arial" w:hAnsi="Arial"/>
        </w:rPr>
      </w:pPr>
      <w:r>
        <w:rPr>
          <w:rFonts w:ascii="Arial" w:hAnsi="Arial"/>
        </w:rPr>
        <w:t xml:space="preserve">Krajská zdravotní, a.s. - Nemocnice Teplice, </w:t>
      </w:r>
      <w:proofErr w:type="spellStart"/>
      <w:r>
        <w:rPr>
          <w:rFonts w:ascii="Arial" w:hAnsi="Arial"/>
        </w:rPr>
        <w:t>o.z</w:t>
      </w:r>
      <w:proofErr w:type="spellEnd"/>
      <w:r>
        <w:rPr>
          <w:rFonts w:ascii="Arial" w:hAnsi="Arial"/>
        </w:rPr>
        <w:t>. (1 ks)</w:t>
      </w:r>
    </w:p>
    <w:p>
      <w:pPr>
        <w:pStyle w:val="Odstavecseseznamem"/>
        <w:spacing w:after="300"/>
        <w:ind w:left="1134" w:firstLine="0"/>
        <w:rPr>
          <w:rFonts w:ascii="Arial" w:hAnsi="Arial"/>
        </w:rPr>
      </w:pPr>
      <w:r>
        <w:rPr>
          <w:rFonts w:ascii="Arial" w:hAnsi="Arial"/>
        </w:rPr>
        <w:t>Interní oddělení</w:t>
      </w:r>
    </w:p>
    <w:p>
      <w:pPr>
        <w:pStyle w:val="Odstavecseseznamem"/>
        <w:spacing w:after="300"/>
        <w:ind w:left="1134" w:firstLine="0"/>
        <w:rPr>
          <w:rFonts w:ascii="Arial" w:hAnsi="Arial"/>
        </w:rPr>
      </w:pPr>
      <w:r>
        <w:rPr>
          <w:rFonts w:ascii="Arial" w:hAnsi="Arial"/>
        </w:rPr>
        <w:t>Duchcovská 53</w:t>
      </w:r>
    </w:p>
    <w:p>
      <w:pPr>
        <w:pStyle w:val="Odstavecseseznamem"/>
        <w:spacing w:after="300"/>
        <w:ind w:left="1134" w:firstLine="0"/>
        <w:rPr>
          <w:rFonts w:ascii="Arial" w:hAnsi="Arial" w:cs="Arial"/>
        </w:rPr>
      </w:pPr>
      <w:r>
        <w:rPr>
          <w:rFonts w:ascii="Arial" w:hAnsi="Arial"/>
        </w:rPr>
        <w:t>415 29 Teplice</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w:t>
      </w:r>
      <w:r>
        <w:rPr>
          <w:rFonts w:ascii="Arial" w:hAnsi="Arial" w:cs="Arial"/>
          <w:i/>
        </w:rPr>
        <w:br/>
        <w:t xml:space="preserve">o zdravotnických prostředcích, </w:t>
      </w:r>
    </w:p>
    <w:p>
      <w:pPr>
        <w:numPr>
          <w:ilvl w:val="0"/>
          <w:numId w:val="13"/>
        </w:numPr>
        <w:spacing w:line="276" w:lineRule="auto"/>
        <w:rPr>
          <w:rFonts w:ascii="Arial" w:hAnsi="Arial" w:cs="Arial"/>
          <w:i/>
        </w:rPr>
      </w:pPr>
      <w:r>
        <w:rPr>
          <w:rFonts w:ascii="Arial" w:hAnsi="Arial" w:cs="Arial"/>
          <w:i/>
        </w:rPr>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w:t>
      </w:r>
      <w:r>
        <w:rPr>
          <w:rFonts w:ascii="Arial" w:hAnsi="Arial" w:cs="Arial"/>
          <w:i/>
        </w:rPr>
        <w:br/>
        <w:t xml:space="preserve">(i v elektronické podobě na CD/DVD), příslušné certifikáty, atesty osvědčující, že přístroj je vyroben v souladu s platnými bezpečnostními normami a ČSN, kopii prohlášení o shodě (CE </w:t>
      </w:r>
      <w:proofErr w:type="spellStart"/>
      <w:r>
        <w:rPr>
          <w:rFonts w:ascii="Arial" w:hAnsi="Arial" w:cs="Arial"/>
          <w:i/>
        </w:rPr>
        <w:t>declaration</w:t>
      </w:r>
      <w:proofErr w:type="spellEnd"/>
      <w:r>
        <w:rPr>
          <w:rFonts w:ascii="Arial" w:hAnsi="Arial" w:cs="Arial"/>
          <w:i/>
        </w:rPr>
        <w:t>)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 xml:space="preserve">v případě zboží, které je zákonem č. 505/1990 Sb., o metrologii, ve znění pozdějších předpisů, a vyhláškou Ministerstva průmyslu a obchodu č. 345/2002 Sb., kterou se stanoví měřidla </w:t>
      </w:r>
      <w:r>
        <w:rPr>
          <w:rFonts w:ascii="Arial" w:hAnsi="Arial" w:cs="Arial"/>
          <w:i/>
        </w:rPr>
        <w:br/>
        <w:t>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likvidace obalového materiálu.</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 xml:space="preserve">kupující je povinen respektovat pokyny prodávajícího týkající se uvedení zboží do provozu. </w:t>
      </w:r>
      <w:r>
        <w:rPr>
          <w:rFonts w:ascii="Arial" w:hAnsi="Arial" w:cs="Arial"/>
        </w:rPr>
        <w:br/>
        <w:t>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lastRenderedPageBreak/>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w:t>
      </w:r>
      <w:r>
        <w:rPr>
          <w:rFonts w:ascii="Arial" w:hAnsi="Arial" w:cs="Arial"/>
        </w:rPr>
        <w:br/>
        <w:t xml:space="preserve">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w:t>
      </w:r>
      <w:r>
        <w:rPr>
          <w:rFonts w:ascii="Arial" w:hAnsi="Arial" w:cs="Arial"/>
        </w:rPr>
        <w:br/>
        <w:t xml:space="preserve">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po celou záruční dobu, a které bylo prodávajícím dodáno spolu se zbožím. </w:t>
      </w:r>
      <w:r>
        <w:rPr>
          <w:rFonts w:ascii="Arial" w:eastAsia="Calibri" w:hAnsi="Arial" w:cs="Arial"/>
          <w:lang w:eastAsia="en-US"/>
        </w:rPr>
        <w:t xml:space="preserve">Stejně tak poskytne prodávající spotřební materiál potřebný pro jím prováděný servis, revize, předepsané kontroly </w:t>
      </w:r>
      <w:r>
        <w:rPr>
          <w:rFonts w:ascii="Arial" w:eastAsia="Calibri" w:hAnsi="Arial" w:cs="Arial"/>
          <w:lang w:eastAsia="en-US"/>
        </w:rPr>
        <w:br/>
        <w:t>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nejpozději však do 7 (slovem: sedmi) pracovních dnů poté,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ind w:left="426" w:hanging="426"/>
        <w:rPr>
          <w:rFonts w:ascii="Arial" w:hAnsi="Arial" w:cs="Arial"/>
        </w:rPr>
      </w:pPr>
      <w:r>
        <w:rPr>
          <w:rFonts w:ascii="Arial" w:hAnsi="Arial" w:cs="Arial"/>
        </w:rPr>
        <w:lastRenderedPageBreak/>
        <w:t>Smluvní strany se dohodly, že záruční doba se automaticky prodlužuje o dobu, která uplyne mezi nahlášením vady a vyřízením reklamace.</w:t>
      </w:r>
    </w:p>
    <w:p>
      <w:pPr>
        <w:pStyle w:val="Zkladntext"/>
        <w:numPr>
          <w:ilvl w:val="0"/>
          <w:numId w:val="2"/>
        </w:numPr>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w:t>
      </w:r>
      <w:r>
        <w:rPr>
          <w:rFonts w:ascii="Arial" w:hAnsi="Arial" w:cs="Arial"/>
        </w:rPr>
        <w:br/>
        <w:t xml:space="preserve">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předává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předává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 (</w:t>
      </w:r>
      <w:r>
        <w:rPr>
          <w:rFonts w:ascii="Arial" w:hAnsi="Arial" w:cs="Arial"/>
          <w:color w:val="00B0F0"/>
          <w:szCs w:val="24"/>
        </w:rPr>
        <w:t>doplní prodávající</w:t>
      </w:r>
      <w:r>
        <w:rPr>
          <w:rFonts w:ascii="Arial" w:hAnsi="Arial" w:cs="Arial"/>
          <w:szCs w:val="24"/>
        </w:rPr>
        <w:t xml:space="preserve">) Kč bez DPH, jejíž bližší specifikace je uvedena v příloze č. 2 této smlouvy. Úplata </w:t>
      </w:r>
      <w:r>
        <w:rPr>
          <w:rFonts w:ascii="Arial" w:hAnsi="Arial" w:cs="Arial"/>
          <w:szCs w:val="24"/>
        </w:rPr>
        <w:br/>
        <w:t xml:space="preserve">za poskytování pozáručního servisu bude kupujícím hrazena průběžně v ročních platbách na základě daňového dokladu (faktury) vystaveného vždy k prvnímu dni následujícího roku. 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ind w:left="426" w:firstLine="0"/>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lastRenderedPageBreak/>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Nezaplatí-li kupující prodávajícímu kupní cenu zboží řádně a včas, je prodávající oprávněn požadovat po kupujícím úrok z prodlení ve výši 0,005 % z dlužné částky za každý den prodlení, a to až do úplného zaplacení dlužné částky.</w:t>
      </w:r>
    </w:p>
    <w:p>
      <w:pPr>
        <w:numPr>
          <w:ilvl w:val="0"/>
          <w:numId w:val="15"/>
        </w:numPr>
        <w:spacing w:line="276" w:lineRule="auto"/>
        <w:ind w:left="426" w:hanging="426"/>
        <w:rPr>
          <w:rFonts w:ascii="Arial" w:hAnsi="Arial" w:cs="Arial"/>
        </w:rPr>
      </w:pPr>
      <w:r>
        <w:rPr>
          <w:rFonts w:ascii="Arial" w:hAnsi="Arial" w:cs="Arial"/>
        </w:rPr>
        <w:t>Nedodá-li prodávající kupujícímu zboží řádně a včas, tj. pokud nedojde k předání zboží v souladu s čl. III. této smlouvy, je kupující oprávněn požadovat po prodávajícím smluvní pokutu ve výši 0,2 %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 xml:space="preserve">V případě, že prodávající neodstraní vady zboží ve lhůtě uvedené v čl. V. odst. 9. smlouvy a nebude poskytnuto náhradní zboží ve lhůtě dle čl. V. odst. 10. smlouvy, je kupující oprávněn požadovat </w:t>
      </w:r>
      <w:r>
        <w:rPr>
          <w:rFonts w:ascii="Arial" w:hAnsi="Arial" w:cs="Arial"/>
        </w:rPr>
        <w:br/>
        <w:t>po prodávajícím smluvní pokutu ve výši 0,2 % z kupní ceny daného zboží bez DPH za každý kalendářní den.</w:t>
      </w:r>
    </w:p>
    <w:p>
      <w:pPr>
        <w:numPr>
          <w:ilvl w:val="0"/>
          <w:numId w:val="15"/>
        </w:numPr>
        <w:spacing w:line="276" w:lineRule="auto"/>
        <w:ind w:left="426" w:hanging="426"/>
        <w:rPr>
          <w:rFonts w:ascii="Arial" w:hAnsi="Arial" w:cs="Arial"/>
        </w:rPr>
      </w:pPr>
      <w:r>
        <w:rPr>
          <w:rFonts w:ascii="Arial" w:hAnsi="Arial" w:cs="Arial"/>
        </w:rPr>
        <w:t xml:space="preserve">Zaplacením smluvní pokuty není dotčeno právo na náhradu škody v plném rozsahu, ani právo </w:t>
      </w:r>
      <w:r>
        <w:rPr>
          <w:rFonts w:ascii="Arial" w:hAnsi="Arial" w:cs="Arial"/>
        </w:rPr>
        <w:br/>
        <w:t>na odstoupení od smlouvy v souladu s občanským zákoníkem.</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Předčasné ukončení smlouvy</w:t>
      </w:r>
    </w:p>
    <w:p>
      <w:pPr>
        <w:numPr>
          <w:ilvl w:val="0"/>
          <w:numId w:val="16"/>
        </w:numPr>
        <w:spacing w:line="276" w:lineRule="auto"/>
        <w:ind w:left="426" w:hanging="426"/>
        <w:rPr>
          <w:rFonts w:ascii="Arial" w:hAnsi="Arial" w:cs="Arial"/>
        </w:rPr>
      </w:pPr>
      <w:r>
        <w:rPr>
          <w:rFonts w:ascii="Arial" w:hAnsi="Arial" w:cs="Arial"/>
        </w:rPr>
        <w:t>Tato kupní smlouva může být ukončena dohodou smluvních stran či odstoupením od smlouvy dle občanského zákoníku.</w:t>
      </w:r>
    </w:p>
    <w:p>
      <w:pPr>
        <w:numPr>
          <w:ilvl w:val="0"/>
          <w:numId w:val="16"/>
        </w:numPr>
        <w:spacing w:line="276" w:lineRule="auto"/>
        <w:ind w:left="426" w:hanging="426"/>
        <w:rPr>
          <w:rFonts w:ascii="Arial" w:hAnsi="Arial" w:cs="Arial"/>
        </w:rPr>
      </w:pPr>
      <w:r>
        <w:rPr>
          <w:rFonts w:ascii="Arial" w:hAnsi="Arial" w:cs="Arial"/>
        </w:rPr>
        <w:t>Smluvní strany jsou povinny vypořádat si vzájemná práva a závazky v souladu s občanským zákoníkem.</w:t>
      </w:r>
    </w:p>
    <w:p>
      <w:pPr>
        <w:spacing w:line="276" w:lineRule="auto"/>
        <w:ind w:left="426" w:firstLine="0"/>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IX.</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w:t>
      </w:r>
      <w:r>
        <w:rPr>
          <w:rFonts w:ascii="Arial" w:hAnsi="Arial" w:cs="Arial"/>
        </w:rPr>
        <w:br/>
        <w:t xml:space="preserve">ve znění pozdějších předpisů, musí být tato smlouva uveřejněna prostřednictvím registru smluv do tří měsíců ode dne, kdy byla uzavřena. V případě nesplnění této povinnosti bude smlouva ze zákona zrušena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w:t>
      </w:r>
      <w:proofErr w:type="spellStart"/>
      <w:r>
        <w:rPr>
          <w:rFonts w:ascii="Arial" w:hAnsi="Arial" w:cs="Arial"/>
        </w:rPr>
        <w:t>metadata</w:t>
      </w:r>
      <w:proofErr w:type="spellEnd"/>
      <w:r>
        <w:rPr>
          <w:rFonts w:ascii="Arial" w:hAnsi="Arial" w:cs="Arial"/>
        </w:rPr>
        <w:t xml:space="preserve"> vyžadovaná zákonem zašle správci registru smluv kupující ve lhůtě 14 dní od uzavření smlouvy. Nebude-li smlouva uveřejněna prostřednictvím registru smluv ani v 15. den od jejího uzavření, předá elektronický obraz smlouvy </w:t>
      </w:r>
      <w:r>
        <w:rPr>
          <w:rFonts w:ascii="Arial" w:hAnsi="Arial" w:cs="Arial"/>
        </w:rPr>
        <w:br/>
        <w:t xml:space="preserve">a </w:t>
      </w:r>
      <w:proofErr w:type="spellStart"/>
      <w:r>
        <w:rPr>
          <w:rFonts w:ascii="Arial" w:hAnsi="Arial" w:cs="Arial"/>
        </w:rPr>
        <w:t>metadata</w:t>
      </w:r>
      <w:proofErr w:type="spellEnd"/>
      <w:r>
        <w:rPr>
          <w:rFonts w:ascii="Arial" w:hAnsi="Arial" w:cs="Arial"/>
        </w:rPr>
        <w:t xml:space="preserve"> druhá smluvní strana tak, aby smlouva byla uveřejněna prostřednictvím registru smluv do tří měsíců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 xml:space="preserve">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w:t>
      </w:r>
      <w:r>
        <w:rPr>
          <w:rFonts w:ascii="Arial" w:hAnsi="Arial" w:cs="Arial"/>
        </w:rPr>
        <w:br/>
        <w:t xml:space="preserve">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 xml:space="preserve">Pro případ, že o prodávajícím jako o poskytovateli zdanitelného plnění je zveřejněna způsobem umožňujícím dálkový přístup skutečnost, že je nespolehlivým plátcem DPH, v souladu se zněním zákona </w:t>
      </w:r>
      <w:r>
        <w:rPr>
          <w:rFonts w:ascii="Arial" w:hAnsi="Arial" w:cs="Arial"/>
          <w:color w:val="000000"/>
        </w:rPr>
        <w:lastRenderedPageBreak/>
        <w:t>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 xml:space="preserve">Smluvní strany tímto prohlašují, že si před podpisem této smlouvy vzájemně sdělily veškeré skutkové </w:t>
      </w:r>
      <w:r>
        <w:rPr>
          <w:rFonts w:ascii="Arial" w:hAnsi="Arial" w:cs="Arial"/>
        </w:rPr>
        <w:br/>
        <w:t>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podepsány oprávněnými zástupci obou smluvních stran.</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Jiří Laštůvka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4962"/>
        </w:tabs>
        <w:spacing w:line="276" w:lineRule="auto"/>
        <w:ind w:left="360"/>
      </w:pPr>
      <w:r>
        <w:rPr>
          <w:rFonts w:ascii="Arial" w:hAnsi="Arial" w:cs="Arial"/>
        </w:rPr>
        <w:tab/>
        <w:t>zmocněný k výkonu funkce generálního ředitele</w:t>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991"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 xml:space="preserve">Účinnost </w:t>
          </w:r>
          <w:proofErr w:type="gramStart"/>
          <w:r>
            <w:rPr>
              <w:rFonts w:ascii="Arial" w:hAnsi="Arial" w:cs="Arial"/>
              <w:sz w:val="16"/>
              <w:szCs w:val="16"/>
            </w:rPr>
            <w:t>od</w:t>
          </w:r>
          <w:proofErr w:type="gramEnd"/>
          <w:r>
            <w:rPr>
              <w:rFonts w:ascii="Arial" w:hAnsi="Arial" w:cs="Arial"/>
              <w:sz w:val="16"/>
              <w:szCs w:val="16"/>
            </w:rPr>
            <w:t>:</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proofErr w:type="gramStart"/>
          <w:r>
            <w:rPr>
              <w:rFonts w:ascii="Arial" w:hAnsi="Arial" w:cs="Arial"/>
              <w:sz w:val="16"/>
              <w:szCs w:val="16"/>
            </w:rPr>
            <w:t>1.5.2024</w:t>
          </w:r>
          <w:proofErr w:type="gramEnd"/>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5</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2</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24220"/>
    <w:multiLevelType w:val="hybridMultilevel"/>
    <w:tmpl w:val="19308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5"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0DC561E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2"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663202"/>
    <w:multiLevelType w:val="hybridMultilevel"/>
    <w:tmpl w:val="8AF2D0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FA2993"/>
    <w:multiLevelType w:val="hybridMultilevel"/>
    <w:tmpl w:val="382A36AA"/>
    <w:lvl w:ilvl="0" w:tplc="EEC22CFA">
      <w:numFmt w:val="bullet"/>
      <w:lvlText w:val="-"/>
      <w:lvlJc w:val="left"/>
      <w:pPr>
        <w:ind w:left="1854" w:hanging="360"/>
      </w:pPr>
      <w:rPr>
        <w:rFonts w:ascii="Arial" w:eastAsia="Times New Roman"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15:restartNumberingAfterBreak="0">
    <w:nsid w:val="458C5497"/>
    <w:multiLevelType w:val="hybridMultilevel"/>
    <w:tmpl w:val="629218B8"/>
    <w:lvl w:ilvl="0" w:tplc="CE38CEC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9"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F0539F"/>
    <w:multiLevelType w:val="hybridMultilevel"/>
    <w:tmpl w:val="7236E89C"/>
    <w:lvl w:ilvl="0" w:tplc="EEC22CFA">
      <w:numFmt w:val="bullet"/>
      <w:lvlText w:val="-"/>
      <w:lvlJc w:val="left"/>
      <w:pPr>
        <w:ind w:left="1854" w:hanging="360"/>
      </w:pPr>
      <w:rPr>
        <w:rFonts w:ascii="Arial" w:eastAsia="Times New Roman"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5B61CF"/>
    <w:multiLevelType w:val="singleLevel"/>
    <w:tmpl w:val="6D664240"/>
    <w:lvl w:ilvl="0">
      <w:start w:val="1"/>
      <w:numFmt w:val="decimal"/>
      <w:lvlText w:val="%1."/>
      <w:lvlJc w:val="left"/>
      <w:pPr>
        <w:ind w:left="720" w:hanging="360"/>
      </w:pPr>
      <w:rPr>
        <w:i w:val="0"/>
      </w:rPr>
    </w:lvl>
  </w:abstractNum>
  <w:abstractNum w:abstractNumId="24"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23"/>
  </w:num>
  <w:num w:numId="3">
    <w:abstractNumId w:val="24"/>
  </w:num>
  <w:num w:numId="4">
    <w:abstractNumId w:val="6"/>
  </w:num>
  <w:num w:numId="5">
    <w:abstractNumId w:val="11"/>
  </w:num>
  <w:num w:numId="6">
    <w:abstractNumId w:val="8"/>
  </w:num>
  <w:num w:numId="7">
    <w:abstractNumId w:val="5"/>
  </w:num>
  <w:num w:numId="8">
    <w:abstractNumId w:val="18"/>
  </w:num>
  <w:num w:numId="9">
    <w:abstractNumId w:val="22"/>
  </w:num>
  <w:num w:numId="10">
    <w:abstractNumId w:val="19"/>
  </w:num>
  <w:num w:numId="11">
    <w:abstractNumId w:val="12"/>
  </w:num>
  <w:num w:numId="12">
    <w:abstractNumId w:val="9"/>
  </w:num>
  <w:num w:numId="13">
    <w:abstractNumId w:val="3"/>
  </w:num>
  <w:num w:numId="14">
    <w:abstractNumId w:val="14"/>
  </w:num>
  <w:num w:numId="15">
    <w:abstractNumId w:val="21"/>
  </w:num>
  <w:num w:numId="16">
    <w:abstractNumId w:val="13"/>
  </w:num>
  <w:num w:numId="17">
    <w:abstractNumId w:val="0"/>
  </w:num>
  <w:num w:numId="18">
    <w:abstractNumId w:val="10"/>
  </w:num>
  <w:num w:numId="19">
    <w:abstractNumId w:val="17"/>
  </w:num>
  <w:num w:numId="20">
    <w:abstractNumId w:val="20"/>
  </w:num>
  <w:num w:numId="21">
    <w:abstractNumId w:val="16"/>
  </w:num>
  <w:num w:numId="22">
    <w:abstractNumId w:val="1"/>
  </w:num>
  <w:num w:numId="23">
    <w:abstractNumId w:val="2"/>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F31609C-7BAB-49C7-B579-C6A131D8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paragraph" w:styleId="Odstavecseseznamem">
    <w:name w:val="List Paragraph"/>
    <w:basedOn w:val="Normln"/>
    <w:link w:val="OdstavecseseznamemChar"/>
    <w:uiPriority w:val="34"/>
    <w:qFormat/>
    <w:pPr>
      <w:ind w:left="720"/>
      <w:contextualSpacing/>
    </w:pPr>
  </w:style>
  <w:style w:type="paragraph" w:styleId="Bezmezer">
    <w:name w:val="No Spacing"/>
    <w:uiPriority w:val="1"/>
    <w:qFormat/>
    <w:rPr>
      <w:rFonts w:ascii="Times New Roman" w:eastAsia="Times New Roman" w:hAnsi="Times New Roman"/>
      <w:sz w:val="24"/>
      <w:szCs w:val="24"/>
    </w:rPr>
  </w:style>
  <w:style w:type="character" w:customStyle="1" w:styleId="OdstavecseseznamemChar">
    <w:name w:val="Odstavec se seznamem Char"/>
    <w:link w:val="Odstavecseseznamem"/>
    <w:uiPriority w:val="34"/>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2.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9A1AE-2442-4CDC-9659-8B30F717CBC9}">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2.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4.xml><?xml version="1.0" encoding="utf-8"?>
<ds:datastoreItem xmlns:ds="http://schemas.openxmlformats.org/officeDocument/2006/customXml" ds:itemID="{B52AABEA-E2D2-437E-A2E1-EF9DFE819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3822</Words>
  <Characters>22551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26321</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4</cp:revision>
  <cp:lastPrinted>2024-09-30T09:01:00Z</cp:lastPrinted>
  <dcterms:created xsi:type="dcterms:W3CDTF">2025-04-10T09:13:00Z</dcterms:created>
  <dcterms:modified xsi:type="dcterms:W3CDTF">2025-04-22T06:38:00Z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y fmtid="{D5CDD505-2E9C-101B-9397-08002B2CF9AE}" pid="15" name="_NewReviewCycle">
    <vt:lpwstr/>
  </property>
</Properties>
</file>