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Telemetrický systém pro Krajskou zdravotní, a.s. - Masarykovy nemocnice v Ústí nad Labem,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o.z</w:t>
      </w:r>
      <w:proofErr w:type="spellEnd"/>
      <w:r>
        <w:rPr>
          <w:rFonts w:ascii="Arial" w:hAnsi="Arial" w:cs="Arial"/>
          <w:b/>
          <w:sz w:val="24"/>
          <w:szCs w:val="24"/>
        </w:rPr>
        <w:t>., II</w:t>
      </w:r>
      <w:proofErr w:type="gramEnd"/>
      <w:r>
        <w:rPr>
          <w:rFonts w:ascii="Arial" w:hAnsi="Arial" w:cs="Arial"/>
          <w:b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0"/>
          <w:szCs w:val="20"/>
          <w:highlight w:val="cyan"/>
        </w:rPr>
      </w:pPr>
      <w:bookmarkStart w:id="0" w:name="_GoBack"/>
      <w:bookmarkEnd w:id="0"/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Popis:</w:t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telemetrický monitorovací systém určený pro monitoraci životních funkcí pacientů a zároveň neomezující v pohybu u mobilních pacientů na kardiologické klinice.</w:t>
      </w:r>
    </w:p>
    <w:p>
      <w:pPr>
        <w:jc w:val="both"/>
        <w:rPr>
          <w:rFonts w:ascii="Arial" w:hAnsi="Arial" w:cs="Arial"/>
          <w:sz w:val="20"/>
          <w:szCs w:val="20"/>
          <w:u w:val="single"/>
        </w:rPr>
      </w:pPr>
    </w:p>
    <w:p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Seznam požadovaných položek:</w:t>
      </w:r>
    </w:p>
    <w:p>
      <w:pPr>
        <w:spacing w:after="0"/>
        <w:jc w:val="both"/>
        <w:rPr>
          <w:rStyle w:val="Odkaznakoment"/>
          <w:rFonts w:ascii="Arial" w:hAnsi="Arial" w:cs="Arial"/>
          <w:b/>
          <w:sz w:val="20"/>
          <w:szCs w:val="20"/>
        </w:rPr>
      </w:pPr>
      <w:r>
        <w:rPr>
          <w:rStyle w:val="Odkaznakoment"/>
          <w:rFonts w:ascii="Arial" w:hAnsi="Arial" w:cs="Arial"/>
          <w:b/>
          <w:sz w:val="20"/>
          <w:szCs w:val="20"/>
        </w:rPr>
        <w:t>Telemetrický systém  – 1 ks (Masarykova nemocnice v Ústí nad Labem, kardiologická klinika)</w:t>
      </w:r>
    </w:p>
    <w:p>
      <w:pPr>
        <w:pStyle w:val="Odstavecseseznamem"/>
        <w:numPr>
          <w:ilvl w:val="0"/>
          <w:numId w:val="2"/>
        </w:numPr>
        <w:tabs>
          <w:tab w:val="left" w:leader="do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 ks</w:t>
      </w:r>
      <w:r>
        <w:rPr>
          <w:rFonts w:ascii="Arial" w:hAnsi="Arial" w:cs="Arial"/>
          <w:sz w:val="20"/>
          <w:szCs w:val="20"/>
        </w:rPr>
        <w:tab/>
        <w:t xml:space="preserve">Telemetrický vysílač </w:t>
      </w:r>
    </w:p>
    <w:p>
      <w:pPr>
        <w:pStyle w:val="Odstavecseseznamem"/>
        <w:numPr>
          <w:ilvl w:val="0"/>
          <w:numId w:val="2"/>
        </w:numPr>
        <w:tabs>
          <w:tab w:val="left" w:leader="do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ks</w:t>
      </w:r>
      <w:r>
        <w:rPr>
          <w:rFonts w:ascii="Arial" w:hAnsi="Arial" w:cs="Arial"/>
          <w:sz w:val="20"/>
          <w:szCs w:val="20"/>
        </w:rPr>
        <w:tab/>
        <w:t xml:space="preserve">Centrální monitorace </w:t>
      </w:r>
    </w:p>
    <w:p>
      <w:pPr>
        <w:jc w:val="both"/>
        <w:rPr>
          <w:rFonts w:ascii="Arial" w:hAnsi="Arial" w:cs="Arial"/>
          <w:sz w:val="20"/>
          <w:szCs w:val="20"/>
          <w:u w:val="single"/>
        </w:rPr>
      </w:pPr>
    </w:p>
    <w:p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Požadované minimální technické a uživatelské parametry a vlastnosti:</w:t>
      </w:r>
    </w:p>
    <w:p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Telemetrický systém - popis koncepce a topologie požadovaného řešení</w:t>
      </w:r>
    </w:p>
    <w:p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Systém bude provozován v nově vystavěné budově označované písmenem J a musí zajišťovat sběr dat a snímání pacientů pro dvě samostatná pracoviště s nezávislou monitorací pacientů v určeném prostoru každého pracoviště. Pojmem nezávislá monitorace je uvažováno takové řešení, které </w:t>
      </w:r>
      <w:proofErr w:type="gramStart"/>
      <w:r>
        <w:rPr>
          <w:rFonts w:ascii="Arial" w:hAnsi="Arial" w:cs="Arial"/>
          <w:sz w:val="20"/>
          <w:szCs w:val="20"/>
        </w:rPr>
        <w:t>zamezuje</w:t>
      </w:r>
      <w:proofErr w:type="gramEnd"/>
      <w:r>
        <w:rPr>
          <w:rFonts w:ascii="Arial" w:hAnsi="Arial" w:cs="Arial"/>
          <w:sz w:val="20"/>
          <w:szCs w:val="20"/>
        </w:rPr>
        <w:t xml:space="preserve"> vzájemnému ovlivňování monitorace na těchto dvou pracovištích tj. aby technická závada na infrastruktuře pro snímání telemetrických záznamníků na jednom z pracovišť </w:t>
      </w:r>
      <w:proofErr w:type="gramStart"/>
      <w:r>
        <w:rPr>
          <w:rFonts w:ascii="Arial" w:hAnsi="Arial" w:cs="Arial"/>
          <w:sz w:val="20"/>
          <w:szCs w:val="20"/>
        </w:rPr>
        <w:t>neznamenala</w:t>
      </w:r>
      <w:proofErr w:type="gramEnd"/>
      <w:r>
        <w:rPr>
          <w:rFonts w:ascii="Arial" w:hAnsi="Arial" w:cs="Arial"/>
          <w:sz w:val="20"/>
          <w:szCs w:val="20"/>
        </w:rPr>
        <w:t xml:space="preserve"> výpadek funkce snímání a zároveň i centrální monitorace na druhém pracovišti.</w:t>
      </w:r>
    </w:p>
    <w:p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třetím pracovišti kliniky bude probíhat monitorace obou výše zmiňovaných pracovišť, ale nastavení monitorace nesmí ovlivňovat nastavení monitorace na pracovištích, kde snímání pacientů bude probíhat.</w:t>
      </w:r>
    </w:p>
    <w:p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Pracoviště kardiologické kliniky:</w:t>
      </w:r>
    </w:p>
    <w:p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Kardiologie standard – 3.NP (vyšší blok budovy), monitorace 16 telemetrických vysílačů</w:t>
      </w:r>
    </w:p>
    <w:p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Kardiologický stacionář – 2.NP (nižší blok budovy), monitorace 4 telemetrických vysílačů</w:t>
      </w:r>
    </w:p>
    <w:p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Kardiologická JIP – 3.NP (vyšší blok budovy), monitorace dohledová nad pracovišti 1. a 2.</w:t>
      </w:r>
    </w:p>
    <w:p>
      <w:pPr>
        <w:spacing w:after="0"/>
        <w:jc w:val="both"/>
        <w:rPr>
          <w:rFonts w:ascii="Arial" w:hAnsi="Arial" w:cs="Arial"/>
          <w:sz w:val="20"/>
          <w:szCs w:val="20"/>
        </w:rPr>
      </w:pPr>
    </w:p>
    <w:p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Potřebné pokrytí telemetrické sítě pro pracoviště 1. a 2. je definováno v obrazové příloze zadávací dokumentace s půdorysy pracovišť. V půdorysech je ohraničeno zelenou barvou vyznačení prostor odpovídající požadované oblasti snímání pacientů obou pracovišť. Jedná se o prostory, kde se budou pohybovat pacienti s napojenými vysílači. </w:t>
      </w:r>
    </w:p>
    <w:p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Telemetrický vysílač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Lehké kompaktní zařízení s hmotností maximálně 300 g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monitorování stavu kardiologických pacientů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Měření 3/5/6 svodové EKG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Automatická analýza a záznam arytmií z min. 2 svodů (minimálně asystolie, komorová tachykardie, komorová fibrilace, atriální fibrilace, tachykardie, bradykardie)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Analýza QT/</w:t>
      </w:r>
      <w:proofErr w:type="spellStart"/>
      <w:r>
        <w:rPr>
          <w:rFonts w:ascii="Arial" w:hAnsi="Arial" w:cs="Arial"/>
          <w:sz w:val="20"/>
          <w:szCs w:val="20"/>
        </w:rPr>
        <w:t>QTc</w:t>
      </w:r>
      <w:proofErr w:type="spellEnd"/>
      <w:r>
        <w:rPr>
          <w:rFonts w:ascii="Arial" w:hAnsi="Arial" w:cs="Arial"/>
          <w:sz w:val="20"/>
          <w:szCs w:val="20"/>
        </w:rPr>
        <w:t xml:space="preserve"> intervalu – vhodné např. pro zjištění komorových arytmií a </w:t>
      </w:r>
      <w:proofErr w:type="spellStart"/>
      <w:r>
        <w:rPr>
          <w:rFonts w:ascii="Arial" w:hAnsi="Arial" w:cs="Arial"/>
          <w:sz w:val="20"/>
          <w:szCs w:val="20"/>
        </w:rPr>
        <w:t>torzád</w:t>
      </w:r>
      <w:proofErr w:type="spellEnd"/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Detekce stimulačních impulzů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Detekce odpadlé elektrody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Displej pro zobrazování měřených hodnot a křivek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 na dobíjecí akumulátor či baterie po dobu minimálně 24 hodin 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nabídky minimálně 2x dobíjecí akumulátor či sada dobíjecích baterií pro každý telemetr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Indikace stavu nabití akumulátoru nebo baterií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 pohybu pacienta nesmí docházet ke ztrátě dat vlivem přepojování vysílače mezi přístupovými body telemetrické sítě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Voděodolnost minimálně IPX7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Zobrazení měřených parametrů na centrální monitorovací stanici 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příslušenství pro měření EKG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Komponenty k zavěšení na krk pacienta pro každý telemetrický vysílač (např. závěsná kapsa na krku pacienta)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Příslušenství:</w:t>
      </w:r>
    </w:p>
    <w:p>
      <w:pPr>
        <w:pStyle w:val="Odstavecseseznamem"/>
        <w:numPr>
          <w:ilvl w:val="1"/>
          <w:numId w:val="1"/>
        </w:numPr>
        <w:tabs>
          <w:tab w:val="left" w:leader="dot" w:pos="2835"/>
        </w:tabs>
        <w:spacing w:after="120" w:line="240" w:lineRule="auto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Sada příslušenství pro snímání EKG (pro každý vysílač)</w:t>
      </w:r>
    </w:p>
    <w:p>
      <w:pPr>
        <w:pStyle w:val="Odstavecseseznamem"/>
        <w:numPr>
          <w:ilvl w:val="1"/>
          <w:numId w:val="1"/>
        </w:numPr>
        <w:tabs>
          <w:tab w:val="left" w:leader="dot" w:pos="2835"/>
        </w:tabs>
        <w:spacing w:after="120" w:line="240" w:lineRule="auto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Nabíječka(-y) pro</w:t>
      </w:r>
      <w:proofErr w:type="gramEnd"/>
      <w:r>
        <w:rPr>
          <w:rFonts w:ascii="Arial" w:hAnsi="Arial" w:cs="Arial"/>
          <w:sz w:val="20"/>
          <w:szCs w:val="20"/>
        </w:rPr>
        <w:t xml:space="preserve"> nabíjení akumulátorů či baterií z minimálně 8 vysílačů (pro lůžkové pracoviště)</w:t>
      </w:r>
    </w:p>
    <w:p>
      <w:pPr>
        <w:pStyle w:val="Odstavecseseznamem"/>
        <w:numPr>
          <w:ilvl w:val="1"/>
          <w:numId w:val="1"/>
        </w:numPr>
        <w:tabs>
          <w:tab w:val="left" w:leader="dot" w:pos="2835"/>
        </w:tabs>
        <w:spacing w:after="120" w:line="240" w:lineRule="auto"/>
        <w:ind w:left="143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Nabíječka(-y) pro</w:t>
      </w:r>
      <w:proofErr w:type="gramEnd"/>
      <w:r>
        <w:rPr>
          <w:rFonts w:ascii="Arial" w:hAnsi="Arial" w:cs="Arial"/>
          <w:sz w:val="20"/>
          <w:szCs w:val="20"/>
        </w:rPr>
        <w:t xml:space="preserve"> nabíjení akumulátorů či baterií z minimálně 4 vysílačů (pro pracoviště stacionáře)</w:t>
      </w:r>
    </w:p>
    <w:p>
      <w:pPr>
        <w:keepNext/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>
      <w:pPr>
        <w:keepNext/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Centrální monitorace 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Obousměrná komunikace mezi telemetrickým systémem a vysílači 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Sběr a archivace dat pro minimálně 20 telemetrů současně s možností budoucího rozšíření:</w:t>
      </w:r>
    </w:p>
    <w:p>
      <w:pPr>
        <w:numPr>
          <w:ilvl w:val="1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Pracoviště 1: minimálně 16, možnost rozšíření o minimálně 5 telemetrů bez dalších nákladů</w:t>
      </w:r>
    </w:p>
    <w:p>
      <w:pPr>
        <w:numPr>
          <w:ilvl w:val="1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Pracoviště 2: minimálně 4, možnost rozšíření o minimálně 2 telemetry bez dalších nákladů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Režim sledování (zobrazování): </w:t>
      </w:r>
    </w:p>
    <w:p>
      <w:pPr>
        <w:numPr>
          <w:ilvl w:val="1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Pracoviště 1: minimálně 21 pacientů, na jedné obrazovce s minimálně 2 křivkami </w:t>
      </w:r>
    </w:p>
    <w:p>
      <w:pPr>
        <w:numPr>
          <w:ilvl w:val="1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Pracoviště 2: minimálně 6 pacientů, na jedné obrazovce s minimálně 2 křivkami  </w:t>
      </w:r>
    </w:p>
    <w:p>
      <w:pPr>
        <w:numPr>
          <w:ilvl w:val="1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Pracoviště 3: souběžně z pracovišť 1 a 2 tj. minimálně součet počtů pacientů daných pracovišť s minimálně 2 křivkami  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Vizuální a akustické alarmy</w:t>
      </w:r>
    </w:p>
    <w:p>
      <w:pPr>
        <w:numPr>
          <w:ilvl w:val="1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Zobrazení, vyhodnocení a ukládání alarmů na centrále</w:t>
      </w:r>
    </w:p>
    <w:p>
      <w:pPr>
        <w:numPr>
          <w:ilvl w:val="1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Tisk alarmů 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Grafické a numerické trendy minimálně 96 hodin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Archivace, zobrazení a tisk kompletních křivek za posledních minimálně 96 hodin 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Režim pro detailní zobrazení vybraného telemetrického vysílače s funkcí zadání základních údajů o pacientovi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Uživatelské rozhraní v českém jazyce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Ovládání pomocí klávesnice a myši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Plochý displej (případně displeje u pracoviště 3) o úhlopříčce minimálně 24" 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Připojení centrálního monitoru na síťovou tiskárnu </w:t>
      </w:r>
    </w:p>
    <w:p>
      <w:pPr>
        <w:numPr>
          <w:ilvl w:val="1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Laserové tiskárny pro tisk z centrálních monitorů součástí nabídky (technická specifikace na laserovou tiskárnu je uvedena v další příloze zadávací dokumentace)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Identifikace pacienta na základě seznamu, který si centrální monitor načte z NIS prostřednictvím rozhraní HL7 — HW a SW není součástí nabídky (pouze připravenost systému na tento požadavek) </w:t>
      </w:r>
    </w:p>
    <w:p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Záložní zdroj napájení (UPS) na dobu minimálně 30 minut</w:t>
      </w:r>
    </w:p>
    <w:p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keepNext/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>Instalační podmínky</w:t>
      </w:r>
    </w:p>
    <w:p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závislosti na druhu technologie bezdrátové sítě pro snímání telemetrů může dodavatel využít strukturovanou kabeláž ethernet sítě nebo volnou kapacitu </w:t>
      </w:r>
      <w:proofErr w:type="spellStart"/>
      <w:r>
        <w:rPr>
          <w:rFonts w:ascii="Arial" w:hAnsi="Arial" w:cs="Arial"/>
          <w:sz w:val="20"/>
          <w:szCs w:val="20"/>
        </w:rPr>
        <w:t>WiFi</w:t>
      </w:r>
      <w:proofErr w:type="spellEnd"/>
      <w:r>
        <w:rPr>
          <w:rFonts w:ascii="Arial" w:hAnsi="Arial" w:cs="Arial"/>
          <w:sz w:val="20"/>
          <w:szCs w:val="20"/>
        </w:rPr>
        <w:t xml:space="preserve"> sítě zadavatele nebo realizaci vlastní infrastruktury pro snímací prvky na vlastní náklady včetně začištění a uvedení do původní podoby všech dotčených ploch, povrchů a krytin v součinnosti se zadavatelem. V obrazové příloze zadávací dokumentace jsou k dispozici mapy pokrytí bezdrátovou sítí. Pro další zpřesnění má účastník možnost prohlídky budoucího místa plnění.</w:t>
      </w:r>
    </w:p>
    <w:p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Účastník uvede v nabídce požadavky na instalaci jeho technologie z hlediska IT infrastruktury tj. především požadavky na využití prostor datových rozvoden a požadavky na </w:t>
      </w:r>
      <w:proofErr w:type="spellStart"/>
      <w:r>
        <w:rPr>
          <w:rFonts w:ascii="Arial" w:hAnsi="Arial" w:cs="Arial"/>
          <w:sz w:val="20"/>
          <w:szCs w:val="20"/>
        </w:rPr>
        <w:t>virtualizační</w:t>
      </w:r>
      <w:proofErr w:type="spellEnd"/>
      <w:r>
        <w:rPr>
          <w:rFonts w:ascii="Arial" w:hAnsi="Arial" w:cs="Arial"/>
          <w:sz w:val="20"/>
          <w:szCs w:val="20"/>
        </w:rPr>
        <w:t xml:space="preserve"> platformy (zejména servery).</w:t>
      </w:r>
    </w:p>
    <w:p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Dodavatel prohlašuje, že jím nabízené plnění splňuje všechny požadavky uvedené v této Příloze č. 2 - Technická specifikace:</w:t>
      </w: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 ……(vyplní dodavatel)……… dne ……(vyplní dodavatel)………</w:t>
      </w: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společnost</w:t>
      </w: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……………………(vyplní dodavatel)……………………………….</w:t>
      </w: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Osoba oprávněná jednat za dodavatele (pozice, titul, jméno, příjmení)</w:t>
      </w: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</w:p>
    <w:p>
      <w:pPr>
        <w:pStyle w:val="Standard"/>
        <w:spacing w:before="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……………………(vyplní dodavatel)……………………………….</w:t>
      </w:r>
    </w:p>
    <w:p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>
      <w:headerReference w:type="default" r:id="rId8"/>
      <w:footerReference w:type="default" r:id="rId9"/>
      <w:pgSz w:w="11906" w:h="16838"/>
      <w:pgMar w:top="1417" w:right="1417" w:bottom="1417" w:left="1417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25472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>
            <w:pPr>
              <w:pStyle w:val="Zpat"/>
              <w:jc w:val="right"/>
            </w:pPr>
            <w:r>
              <w:rPr>
                <w:rFonts w:ascii="MetaCE" w:hAnsi="MetaCE"/>
                <w:sz w:val="14"/>
                <w:szCs w:val="14"/>
              </w:rPr>
              <w:fldChar w:fldCharType="begin"/>
            </w:r>
            <w:r>
              <w:rPr>
                <w:rFonts w:ascii="MetaCE" w:hAnsi="MetaCE"/>
                <w:sz w:val="14"/>
                <w:szCs w:val="14"/>
              </w:rPr>
              <w:instrText xml:space="preserve"> PAGE </w:instrText>
            </w:r>
            <w:r>
              <w:rPr>
                <w:rFonts w:ascii="MetaCE" w:hAnsi="MetaCE"/>
                <w:sz w:val="14"/>
                <w:szCs w:val="14"/>
              </w:rPr>
              <w:fldChar w:fldCharType="separate"/>
            </w:r>
            <w:r>
              <w:rPr>
                <w:rFonts w:ascii="MetaCE" w:hAnsi="MetaCE"/>
                <w:noProof/>
                <w:sz w:val="14"/>
                <w:szCs w:val="14"/>
              </w:rPr>
              <w:t>2</w:t>
            </w:r>
            <w:r>
              <w:rPr>
                <w:rFonts w:ascii="MetaCE" w:hAnsi="MetaCE"/>
                <w:sz w:val="14"/>
                <w:szCs w:val="14"/>
              </w:rPr>
              <w:fldChar w:fldCharType="end"/>
            </w:r>
            <w:r>
              <w:rPr>
                <w:rFonts w:ascii="MetaCE" w:hAnsi="MetaCE"/>
                <w:sz w:val="14"/>
                <w:szCs w:val="14"/>
              </w:rPr>
              <w:t xml:space="preserve"> z </w:t>
            </w:r>
            <w:r>
              <w:rPr>
                <w:rFonts w:ascii="MetaCE" w:hAnsi="MetaCE"/>
                <w:sz w:val="14"/>
                <w:szCs w:val="14"/>
              </w:rPr>
              <w:fldChar w:fldCharType="begin"/>
            </w:r>
            <w:r>
              <w:rPr>
                <w:rFonts w:ascii="MetaCE" w:hAnsi="MetaCE"/>
                <w:sz w:val="14"/>
                <w:szCs w:val="14"/>
              </w:rPr>
              <w:instrText xml:space="preserve"> NUMPAGES </w:instrText>
            </w:r>
            <w:r>
              <w:rPr>
                <w:rFonts w:ascii="MetaCE" w:hAnsi="MetaCE"/>
                <w:sz w:val="14"/>
                <w:szCs w:val="14"/>
              </w:rPr>
              <w:fldChar w:fldCharType="separate"/>
            </w:r>
            <w:r>
              <w:rPr>
                <w:rFonts w:ascii="MetaCE" w:hAnsi="MetaCE"/>
                <w:noProof/>
                <w:sz w:val="14"/>
                <w:szCs w:val="14"/>
              </w:rPr>
              <w:t>3</w:t>
            </w:r>
            <w:r>
              <w:rPr>
                <w:rFonts w:ascii="MetaCE" w:hAnsi="MetaCE"/>
                <w:sz w:val="14"/>
                <w:szCs w:val="14"/>
              </w:rPr>
              <w:fldChar w:fldCharType="end"/>
            </w:r>
          </w:p>
        </w:sdtContent>
      </w:sdt>
    </w:sdtContent>
  </w:sdt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546"/>
    <w:multiLevelType w:val="hybridMultilevel"/>
    <w:tmpl w:val="09C41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77C9"/>
    <w:multiLevelType w:val="hybridMultilevel"/>
    <w:tmpl w:val="5350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C0C6D"/>
    <w:multiLevelType w:val="hybridMultilevel"/>
    <w:tmpl w:val="C7B4E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21BA2"/>
    <w:multiLevelType w:val="hybridMultilevel"/>
    <w:tmpl w:val="89F2A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43F80"/>
    <w:multiLevelType w:val="hybridMultilevel"/>
    <w:tmpl w:val="52E0C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6EE9"/>
    <w:multiLevelType w:val="hybridMultilevel"/>
    <w:tmpl w:val="4C527CA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42F73A0"/>
    <w:multiLevelType w:val="hybridMultilevel"/>
    <w:tmpl w:val="29E0B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B09"/>
    <w:multiLevelType w:val="hybridMultilevel"/>
    <w:tmpl w:val="16C87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81C72"/>
    <w:multiLevelType w:val="hybridMultilevel"/>
    <w:tmpl w:val="D03C2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9636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5300C52"/>
    <w:multiLevelType w:val="hybridMultilevel"/>
    <w:tmpl w:val="9E4EA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38F3D5-804F-4EE8-A141-8CD28DA8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character" w:customStyle="1" w:styleId="A6">
    <w:name w:val="A6"/>
    <w:uiPriority w:val="99"/>
    <w:rPr>
      <w:rFonts w:cs="Gotham"/>
      <w:color w:val="000000"/>
      <w:sz w:val="17"/>
      <w:szCs w:val="17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9EE24-0E24-438D-9B15-12DC2544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zdravotní, a.s.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pavla.valaskova</dc:creator>
  <cp:lastModifiedBy>Ondová Monika</cp:lastModifiedBy>
  <cp:revision>5</cp:revision>
  <cp:lastPrinted>2020-08-11T12:52:00Z</cp:lastPrinted>
  <dcterms:created xsi:type="dcterms:W3CDTF">2025-03-06T13:25:00Z</dcterms:created>
  <dcterms:modified xsi:type="dcterms:W3CDTF">2025-03-06T13:28:00Z</dcterms:modified>
</cp:coreProperties>
</file>