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3B44" w14:textId="77777777" w:rsidR="00690917" w:rsidRPr="00690917" w:rsidRDefault="00690917" w:rsidP="00690917">
      <w:pPr>
        <w:jc w:val="center"/>
        <w:rPr>
          <w:rFonts w:asciiTheme="minorHAnsi" w:eastAsiaTheme="minorEastAsia" w:hAnsiTheme="minorHAnsi" w:cstheme="minorHAnsi"/>
          <w:b/>
          <w:sz w:val="48"/>
          <w:szCs w:val="48"/>
        </w:rPr>
      </w:pPr>
      <w:proofErr w:type="spellStart"/>
      <w:r w:rsidRPr="00690917">
        <w:rPr>
          <w:rFonts w:asciiTheme="minorHAnsi" w:eastAsiaTheme="minorEastAsia" w:hAnsiTheme="minorHAnsi" w:cstheme="minorHAnsi"/>
          <w:b/>
          <w:sz w:val="48"/>
          <w:szCs w:val="48"/>
        </w:rPr>
        <w:t>Hemokultivační</w:t>
      </w:r>
      <w:proofErr w:type="spellEnd"/>
      <w:r w:rsidRPr="00690917">
        <w:rPr>
          <w:rFonts w:asciiTheme="minorHAnsi" w:eastAsiaTheme="minorEastAsia" w:hAnsiTheme="minorHAnsi" w:cstheme="minorHAnsi"/>
          <w:b/>
          <w:sz w:val="48"/>
          <w:szCs w:val="48"/>
        </w:rPr>
        <w:t xml:space="preserve"> systém</w:t>
      </w:r>
    </w:p>
    <w:p w14:paraId="79CA593F" w14:textId="77777777" w:rsidR="0001215E" w:rsidRPr="00690917" w:rsidRDefault="0001215E" w:rsidP="0001215E">
      <w:pPr>
        <w:jc w:val="center"/>
        <w:rPr>
          <w:rFonts w:asciiTheme="minorHAnsi" w:hAnsiTheme="minorHAnsi" w:cstheme="minorHAnsi"/>
          <w:sz w:val="28"/>
        </w:rPr>
      </w:pPr>
    </w:p>
    <w:p w14:paraId="62CEB2E8" w14:textId="77777777" w:rsidR="00690917" w:rsidRPr="003E063A" w:rsidRDefault="00690917" w:rsidP="00690917">
      <w:pPr>
        <w:rPr>
          <w:rFonts w:asciiTheme="minorHAnsi" w:hAnsiTheme="minorHAnsi" w:cstheme="minorHAnsi"/>
          <w:sz w:val="24"/>
        </w:rPr>
      </w:pPr>
      <w:r w:rsidRPr="003E063A">
        <w:rPr>
          <w:rFonts w:asciiTheme="minorHAnsi" w:hAnsiTheme="minorHAnsi" w:cstheme="minorHAnsi"/>
          <w:sz w:val="24"/>
          <w:u w:val="single"/>
        </w:rPr>
        <w:t>Popis:</w:t>
      </w:r>
      <w:r w:rsidRPr="003E063A">
        <w:rPr>
          <w:rFonts w:asciiTheme="minorHAnsi" w:hAnsiTheme="minorHAnsi" w:cstheme="minorHAnsi"/>
          <w:sz w:val="24"/>
        </w:rPr>
        <w:t xml:space="preserve"> </w:t>
      </w:r>
    </w:p>
    <w:p w14:paraId="2EB25336" w14:textId="058638B1" w:rsidR="00690917" w:rsidRPr="00690917" w:rsidRDefault="00690917" w:rsidP="00690917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Hemokultivační</w:t>
      </w:r>
      <w:proofErr w:type="spellEnd"/>
      <w:r>
        <w:rPr>
          <w:rFonts w:asciiTheme="minorHAnsi" w:hAnsiTheme="minorHAnsi" w:cstheme="minorHAnsi"/>
        </w:rPr>
        <w:t xml:space="preserve"> systém</w:t>
      </w:r>
      <w:r w:rsidRPr="00690917">
        <w:rPr>
          <w:rFonts w:asciiTheme="minorHAnsi" w:hAnsiTheme="minorHAnsi" w:cstheme="minorHAnsi"/>
        </w:rPr>
        <w:t xml:space="preserve"> pro oddělení </w:t>
      </w:r>
      <w:r>
        <w:rPr>
          <w:rFonts w:asciiTheme="minorHAnsi" w:hAnsiTheme="minorHAnsi" w:cstheme="minorHAnsi"/>
        </w:rPr>
        <w:t xml:space="preserve">klinické mikrobiologie </w:t>
      </w:r>
      <w:r w:rsidRPr="00690917">
        <w:rPr>
          <w:rFonts w:asciiTheme="minorHAnsi" w:hAnsiTheme="minorHAnsi" w:cstheme="minorHAnsi"/>
        </w:rPr>
        <w:t>Krajské zdravotní, a.s.</w:t>
      </w:r>
      <w:r w:rsidR="003D5302">
        <w:rPr>
          <w:rFonts w:asciiTheme="minorHAnsi" w:hAnsiTheme="minorHAnsi" w:cstheme="minorHAnsi"/>
        </w:rPr>
        <w:t xml:space="preserve"> - </w:t>
      </w:r>
      <w:r w:rsidR="003D5302" w:rsidRPr="00690917">
        <w:rPr>
          <w:rFonts w:asciiTheme="minorHAnsi" w:hAnsiTheme="minorHAnsi" w:cstheme="minorHAnsi"/>
        </w:rPr>
        <w:t xml:space="preserve">Masarykovy nemocnice v Ústí nad Labem, </w:t>
      </w:r>
      <w:proofErr w:type="spellStart"/>
      <w:r w:rsidR="003D5302" w:rsidRPr="00690917">
        <w:rPr>
          <w:rFonts w:asciiTheme="minorHAnsi" w:hAnsiTheme="minorHAnsi" w:cstheme="minorHAnsi"/>
        </w:rPr>
        <w:t>o.z</w:t>
      </w:r>
      <w:proofErr w:type="spellEnd"/>
      <w:r w:rsidR="003D5302" w:rsidRPr="00690917">
        <w:rPr>
          <w:rFonts w:asciiTheme="minorHAnsi" w:hAnsiTheme="minorHAnsi" w:cstheme="minorHAnsi"/>
        </w:rPr>
        <w:t>.</w:t>
      </w:r>
      <w:r w:rsidRPr="00690917">
        <w:rPr>
          <w:rFonts w:asciiTheme="minorHAnsi" w:hAnsiTheme="minorHAnsi" w:cstheme="minorHAnsi"/>
        </w:rPr>
        <w:t xml:space="preserve">. </w:t>
      </w:r>
    </w:p>
    <w:p w14:paraId="0A2F0BCC" w14:textId="77777777" w:rsidR="00690917" w:rsidRPr="00690917" w:rsidRDefault="00690917" w:rsidP="00690917">
      <w:pPr>
        <w:rPr>
          <w:rFonts w:asciiTheme="minorHAnsi" w:hAnsiTheme="minorHAnsi" w:cstheme="minorHAnsi"/>
          <w:highlight w:val="yellow"/>
        </w:rPr>
      </w:pPr>
    </w:p>
    <w:p w14:paraId="49E44808" w14:textId="77777777" w:rsidR="00690917" w:rsidRPr="00690917" w:rsidRDefault="00690917" w:rsidP="00690917">
      <w:pPr>
        <w:rPr>
          <w:rFonts w:asciiTheme="minorHAnsi" w:hAnsiTheme="minorHAnsi" w:cstheme="minorHAnsi"/>
          <w:sz w:val="28"/>
          <w:u w:val="single"/>
        </w:rPr>
      </w:pPr>
    </w:p>
    <w:p w14:paraId="55AC3A37" w14:textId="77777777" w:rsidR="00690917" w:rsidRPr="003E063A" w:rsidRDefault="00690917" w:rsidP="00690917">
      <w:pPr>
        <w:rPr>
          <w:rFonts w:asciiTheme="minorHAnsi" w:hAnsiTheme="minorHAnsi" w:cstheme="minorHAnsi"/>
          <w:sz w:val="24"/>
          <w:u w:val="single"/>
        </w:rPr>
      </w:pPr>
      <w:r w:rsidRPr="003E063A">
        <w:rPr>
          <w:rFonts w:asciiTheme="minorHAnsi" w:hAnsiTheme="minorHAnsi" w:cstheme="minorHAnsi"/>
          <w:sz w:val="24"/>
          <w:u w:val="single"/>
        </w:rPr>
        <w:t>Požadované minimální technické a uživatelské parametry a vlastnosti:</w:t>
      </w:r>
    </w:p>
    <w:p w14:paraId="4B422B9E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Analyzátor pro kultivaci primárně sterilních vzorků</w:t>
      </w:r>
    </w:p>
    <w:p w14:paraId="44902BDB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Modulární systém obsahující:</w:t>
      </w:r>
    </w:p>
    <w:p w14:paraId="69EF5A21" w14:textId="0E1120E0" w:rsidR="0001215E" w:rsidRDefault="007900EE" w:rsidP="003E063A">
      <w:pPr>
        <w:pStyle w:val="Odstavecseseznamem"/>
        <w:numPr>
          <w:ilvl w:val="1"/>
          <w:numId w:val="5"/>
        </w:numPr>
        <w:spacing w:after="200" w:line="276" w:lineRule="auto"/>
      </w:pPr>
      <w:r w:rsidRPr="00D35E7D">
        <w:t xml:space="preserve">Minimálně </w:t>
      </w:r>
      <w:r w:rsidR="00DD1732">
        <w:t>2</w:t>
      </w:r>
      <w:r w:rsidR="000F554F" w:rsidRPr="00D35E7D">
        <w:t xml:space="preserve"> přístrojov</w:t>
      </w:r>
      <w:r w:rsidR="00DD1732">
        <w:t>é</w:t>
      </w:r>
      <w:r w:rsidR="0001215E" w:rsidRPr="00D35E7D">
        <w:t xml:space="preserve"> modul</w:t>
      </w:r>
      <w:r w:rsidR="00DD1732">
        <w:t>y</w:t>
      </w:r>
      <w:r w:rsidR="0095485A" w:rsidRPr="00D35E7D">
        <w:t xml:space="preserve"> </w:t>
      </w:r>
      <w:r w:rsidR="00CB4EA5">
        <w:t xml:space="preserve">s kapacitou minimálně 200 pozic </w:t>
      </w:r>
      <w:r w:rsidR="0095485A" w:rsidRPr="00D35E7D">
        <w:t>+</w:t>
      </w:r>
      <w:r w:rsidR="0095485A" w:rsidRPr="003E063A">
        <w:t xml:space="preserve"> 1 satelitní modul na klinickém oddělení</w:t>
      </w:r>
      <w:r w:rsidR="0095485A">
        <w:t xml:space="preserve"> (na oddělení s provozem 24/7)</w:t>
      </w:r>
      <w:r w:rsidR="00CB4EA5">
        <w:t xml:space="preserve"> s kapacitou minimálně 40 pozic</w:t>
      </w:r>
    </w:p>
    <w:p w14:paraId="59729013" w14:textId="77777777" w:rsidR="00D35E7D" w:rsidRDefault="00D35E7D" w:rsidP="00D35E7D">
      <w:pPr>
        <w:pStyle w:val="Odstavecseseznamem"/>
        <w:numPr>
          <w:ilvl w:val="1"/>
          <w:numId w:val="5"/>
        </w:numPr>
        <w:spacing w:after="200" w:line="276" w:lineRule="auto"/>
      </w:pPr>
      <w:r>
        <w:t xml:space="preserve">SW umožňující vzdálenou komunikaci mezi jednotlivými moduly </w:t>
      </w:r>
    </w:p>
    <w:p w14:paraId="1B0E1F24" w14:textId="77777777" w:rsidR="00D35E7D" w:rsidRDefault="00D35E7D" w:rsidP="00D35E7D">
      <w:pPr>
        <w:pStyle w:val="Odstavecseseznamem"/>
        <w:numPr>
          <w:ilvl w:val="2"/>
          <w:numId w:val="5"/>
        </w:numPr>
        <w:spacing w:after="200" w:line="276" w:lineRule="auto"/>
      </w:pPr>
      <w:r>
        <w:t xml:space="preserve">přenos dat ze satelitního modulu do řídicího přístroje </w:t>
      </w:r>
    </w:p>
    <w:p w14:paraId="07CD73AF" w14:textId="77777777" w:rsidR="00D35E7D" w:rsidRPr="00416E69" w:rsidRDefault="00D35E7D" w:rsidP="00D35E7D">
      <w:pPr>
        <w:pStyle w:val="Odstavecseseznamem"/>
        <w:numPr>
          <w:ilvl w:val="2"/>
          <w:numId w:val="5"/>
        </w:numPr>
        <w:spacing w:after="200" w:line="276" w:lineRule="auto"/>
      </w:pPr>
      <w:r>
        <w:t>v případě přenosu vzorku ze satelitního</w:t>
      </w:r>
      <w:r w:rsidRPr="00416E69">
        <w:t xml:space="preserve"> do </w:t>
      </w:r>
      <w:r>
        <w:t>řídícího</w:t>
      </w:r>
      <w:r w:rsidRPr="00416E69">
        <w:t xml:space="preserve"> přístroje </w:t>
      </w:r>
      <w:r>
        <w:t xml:space="preserve">se </w:t>
      </w:r>
      <w:r w:rsidRPr="00416E69">
        <w:t>následně přenesou i data zachycující historii vzorku v satelitním přístroji</w:t>
      </w:r>
    </w:p>
    <w:p w14:paraId="634FC175" w14:textId="6AAD3F47" w:rsidR="0001215E" w:rsidRPr="000B22EF" w:rsidRDefault="00F63553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Celková kapacita modulů</w:t>
      </w:r>
      <w:r w:rsidR="0001215E" w:rsidRPr="000B22EF">
        <w:t xml:space="preserve"> je </w:t>
      </w:r>
      <w:r w:rsidR="00695A0E">
        <w:t>minimálně</w:t>
      </w:r>
      <w:r w:rsidR="0001215E">
        <w:t xml:space="preserve"> </w:t>
      </w:r>
      <w:r w:rsidR="00D35E7D">
        <w:t>4</w:t>
      </w:r>
      <w:r w:rsidR="00DD1732">
        <w:t>0</w:t>
      </w:r>
      <w:r w:rsidR="00D35E7D">
        <w:t>0</w:t>
      </w:r>
      <w:r w:rsidR="0001215E" w:rsidRPr="000B22EF">
        <w:t xml:space="preserve"> </w:t>
      </w:r>
      <w:r w:rsidR="00ED7485">
        <w:t>kultivačních pozic</w:t>
      </w:r>
    </w:p>
    <w:p w14:paraId="05BD9FCA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Anaerobní a aerobní kultivace</w:t>
      </w:r>
    </w:p>
    <w:p w14:paraId="56A7CCA4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Technologie </w:t>
      </w:r>
      <w:proofErr w:type="spellStart"/>
      <w:r>
        <w:t>lýzy</w:t>
      </w:r>
      <w:proofErr w:type="spellEnd"/>
      <w:r>
        <w:t xml:space="preserve"> buněk</w:t>
      </w:r>
    </w:p>
    <w:p w14:paraId="7E629B9F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Technologie pro neutralizaci antibiotik</w:t>
      </w:r>
    </w:p>
    <w:p w14:paraId="27F9201E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Plně automatizovaný systém s mikrobiální detekcí</w:t>
      </w:r>
    </w:p>
    <w:p w14:paraId="1B51F465" w14:textId="06C5DBBE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Detekce vzorků musí být prováděna každých min. 10 min</w:t>
      </w:r>
      <w:r w:rsidR="003D5302">
        <w:t>ut</w:t>
      </w:r>
      <w:r>
        <w:t xml:space="preserve"> </w:t>
      </w:r>
    </w:p>
    <w:p w14:paraId="321983D6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Nastavení individuální doby kultivace pro jednotlivé typy lahviček a možnost navrácení kultivovaného vzorku do přístroje za daných podmínek bez ztráty dat</w:t>
      </w:r>
    </w:p>
    <w:p w14:paraId="17E3649D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Indikace pozitivních vzorků</w:t>
      </w:r>
    </w:p>
    <w:p w14:paraId="09979389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Automatické rozpoznání lahviček s kultivačním mediem pomocí QR čtečky</w:t>
      </w:r>
    </w:p>
    <w:p w14:paraId="1703A09A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Čárové kódy kombinovatelné s vlastními kódy laboratoře</w:t>
      </w:r>
    </w:p>
    <w:p w14:paraId="0134DF68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Alarm nízké a vysoké teploty v inkubačním modulu</w:t>
      </w:r>
    </w:p>
    <w:p w14:paraId="646B59BE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Archivace dat</w:t>
      </w:r>
    </w:p>
    <w:p w14:paraId="1E20A67B" w14:textId="0F312949" w:rsidR="0001215E" w:rsidRPr="00546526" w:rsidRDefault="0001215E" w:rsidP="00F63553">
      <w:pPr>
        <w:pStyle w:val="Odstavecseseznamem"/>
        <w:numPr>
          <w:ilvl w:val="0"/>
          <w:numId w:val="5"/>
        </w:numPr>
        <w:spacing w:after="200" w:line="276" w:lineRule="auto"/>
      </w:pPr>
      <w:r>
        <w:t>UPS s dostatečnou kapacitou pro zachování provozu</w:t>
      </w:r>
      <w:r w:rsidR="003C4F99">
        <w:t xml:space="preserve"> po dobu minimálně </w:t>
      </w:r>
      <w:r w:rsidR="00062100">
        <w:t>15 minut</w:t>
      </w:r>
    </w:p>
    <w:p w14:paraId="659F7999" w14:textId="57304B35" w:rsidR="0001215E" w:rsidRPr="00546526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Součástí dodávky musí být ve</w:t>
      </w:r>
      <w:r w:rsidR="00F63553">
        <w:t>škerý SW a HW pro získávání dat a</w:t>
      </w:r>
      <w:r>
        <w:t xml:space="preserve"> archivaci </w:t>
      </w:r>
    </w:p>
    <w:p w14:paraId="5F44EDF3" w14:textId="5F945A79" w:rsidR="0001215E" w:rsidRDefault="005845FD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>zajištění prvotní validace včetně zajištění kontrolního materiálu</w:t>
      </w:r>
    </w:p>
    <w:p w14:paraId="72695FA9" w14:textId="77777777" w:rsidR="0001215E" w:rsidRDefault="0001215E" w:rsidP="0001215E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Součástí dodávky je veškeré příslušenství, které je nutné </w:t>
      </w:r>
      <w:r w:rsidRPr="00217733">
        <w:t>pro uvedení přístroje do provozu</w:t>
      </w:r>
    </w:p>
    <w:p w14:paraId="4F87D52C" w14:textId="77777777" w:rsidR="00283807" w:rsidRDefault="00283807" w:rsidP="00283807">
      <w:pPr>
        <w:pStyle w:val="Odstavecseseznamem"/>
        <w:numPr>
          <w:ilvl w:val="0"/>
          <w:numId w:val="5"/>
        </w:numPr>
        <w:spacing w:after="200" w:line="276" w:lineRule="auto"/>
      </w:pPr>
      <w:r>
        <w:t>Možnost budoucího modulárního rozšíření</w:t>
      </w:r>
    </w:p>
    <w:p w14:paraId="471E51B1" w14:textId="77777777" w:rsidR="00B33940" w:rsidRPr="00B33940" w:rsidRDefault="00B33940" w:rsidP="00B33940">
      <w:pPr>
        <w:pStyle w:val="Bezmezer"/>
        <w:ind w:left="720" w:firstLine="0"/>
        <w:rPr>
          <w:rFonts w:asciiTheme="minorHAnsi" w:hAnsiTheme="minorHAnsi" w:cstheme="minorHAnsi"/>
          <w:sz w:val="22"/>
        </w:rPr>
      </w:pPr>
    </w:p>
    <w:p w14:paraId="151FE54D" w14:textId="77777777" w:rsidR="0001215E" w:rsidRDefault="0001215E" w:rsidP="00283807"/>
    <w:p w14:paraId="03AC7426" w14:textId="60085D5F" w:rsidR="0001215E" w:rsidRDefault="006B13C0" w:rsidP="0001215E">
      <w:pPr>
        <w:pStyle w:val="Standard"/>
        <w:spacing w:before="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Vázaný s</w:t>
      </w:r>
      <w:r w:rsidR="0001215E">
        <w:rPr>
          <w:rFonts w:asciiTheme="minorHAnsi" w:hAnsiTheme="minorHAnsi" w:cstheme="minorHAnsi"/>
          <w:b/>
          <w:sz w:val="22"/>
          <w:szCs w:val="22"/>
          <w:u w:val="single"/>
        </w:rPr>
        <w:t>potřební materiál</w:t>
      </w:r>
      <w:r w:rsidR="0001215E" w:rsidRPr="002F37C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9F079A0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  <w:gridCol w:w="5037"/>
      </w:tblGrid>
      <w:tr w:rsidR="0001215E" w:rsidRPr="00C9509D" w14:paraId="482AAFA1" w14:textId="77777777" w:rsidTr="000E4968">
        <w:tc>
          <w:tcPr>
            <w:tcW w:w="3305" w:type="dxa"/>
            <w:vMerge w:val="restart"/>
          </w:tcPr>
          <w:p w14:paraId="69769BDB" w14:textId="77777777" w:rsidR="0001215E" w:rsidRPr="008A6E42" w:rsidRDefault="0001215E" w:rsidP="000E4968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06460B43" w14:textId="77777777" w:rsidR="0001215E" w:rsidRPr="00C9509D" w:rsidRDefault="0001215E" w:rsidP="000E4968">
            <w:pPr>
              <w:pStyle w:val="Standard"/>
              <w:spacing w:before="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9509D">
              <w:rPr>
                <w:rFonts w:cstheme="minorHAnsi"/>
                <w:b/>
                <w:sz w:val="22"/>
                <w:szCs w:val="22"/>
              </w:rPr>
              <w:t>Předpokládaný počet kusů za rok</w:t>
            </w:r>
          </w:p>
        </w:tc>
      </w:tr>
      <w:tr w:rsidR="00283807" w:rsidRPr="008A6E42" w14:paraId="4A520FFF" w14:textId="77777777" w:rsidTr="00283807">
        <w:tc>
          <w:tcPr>
            <w:tcW w:w="3305" w:type="dxa"/>
            <w:vMerge/>
          </w:tcPr>
          <w:p w14:paraId="28A0865C" w14:textId="77777777" w:rsidR="00283807" w:rsidRPr="008A6E42" w:rsidRDefault="00283807" w:rsidP="000E4968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14:paraId="314F4D37" w14:textId="77777777" w:rsidR="00283807" w:rsidRPr="008A6E42" w:rsidRDefault="00283807" w:rsidP="00283807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MNUL OKM</w:t>
            </w:r>
          </w:p>
        </w:tc>
      </w:tr>
      <w:tr w:rsidR="00283807" w:rsidRPr="00B94589" w14:paraId="77BA2D78" w14:textId="77777777" w:rsidTr="00AE5F6F">
        <w:tc>
          <w:tcPr>
            <w:tcW w:w="3305" w:type="dxa"/>
          </w:tcPr>
          <w:p w14:paraId="493C7B62" w14:textId="77777777" w:rsidR="00283807" w:rsidRPr="008A6E42" w:rsidRDefault="00283807" w:rsidP="000E4968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proofErr w:type="spellStart"/>
            <w:r w:rsidRPr="008A6E42">
              <w:rPr>
                <w:rFonts w:cstheme="minorHAnsi"/>
                <w:sz w:val="22"/>
                <w:szCs w:val="22"/>
              </w:rPr>
              <w:lastRenderedPageBreak/>
              <w:t>Hemokultivační</w:t>
            </w:r>
            <w:proofErr w:type="spellEnd"/>
            <w:r w:rsidRPr="008A6E42">
              <w:rPr>
                <w:rFonts w:cstheme="minorHAnsi"/>
                <w:sz w:val="22"/>
                <w:szCs w:val="22"/>
              </w:rPr>
              <w:t xml:space="preserve"> lahvičky pro aerobní kultivaci</w:t>
            </w:r>
          </w:p>
        </w:tc>
        <w:tc>
          <w:tcPr>
            <w:tcW w:w="5037" w:type="dxa"/>
            <w:vAlign w:val="center"/>
          </w:tcPr>
          <w:p w14:paraId="30563EF6" w14:textId="1CE4D50E" w:rsidR="00283807" w:rsidRPr="009A3197" w:rsidRDefault="00CB4EA5" w:rsidP="000E4968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 w:rsidRPr="009A3197">
              <w:rPr>
                <w:rFonts w:cstheme="minorHAnsi"/>
                <w:sz w:val="22"/>
                <w:szCs w:val="22"/>
              </w:rPr>
              <w:t>5 0</w:t>
            </w:r>
            <w:r w:rsidR="00F63553" w:rsidRPr="009A3197">
              <w:rPr>
                <w:rFonts w:cstheme="minorHAnsi"/>
                <w:sz w:val="22"/>
                <w:szCs w:val="22"/>
              </w:rPr>
              <w:t>00</w:t>
            </w:r>
          </w:p>
        </w:tc>
      </w:tr>
      <w:tr w:rsidR="00283807" w:rsidRPr="00B94589" w14:paraId="66B70B0D" w14:textId="77777777" w:rsidTr="001344DF">
        <w:tc>
          <w:tcPr>
            <w:tcW w:w="3305" w:type="dxa"/>
          </w:tcPr>
          <w:p w14:paraId="3C6F4716" w14:textId="77777777" w:rsidR="00283807" w:rsidRPr="008A6E42" w:rsidRDefault="00283807" w:rsidP="000E4968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proofErr w:type="spellStart"/>
            <w:r w:rsidRPr="008A6E42">
              <w:rPr>
                <w:rFonts w:cstheme="minorHAnsi"/>
                <w:sz w:val="22"/>
                <w:szCs w:val="22"/>
              </w:rPr>
              <w:t>Hemokultivační</w:t>
            </w:r>
            <w:proofErr w:type="spellEnd"/>
            <w:r w:rsidRPr="008A6E42">
              <w:rPr>
                <w:rFonts w:cstheme="minorHAnsi"/>
                <w:sz w:val="22"/>
                <w:szCs w:val="22"/>
              </w:rPr>
              <w:t xml:space="preserve"> lahvičky pro anaerobní kultivaci</w:t>
            </w:r>
          </w:p>
        </w:tc>
        <w:tc>
          <w:tcPr>
            <w:tcW w:w="5037" w:type="dxa"/>
            <w:vAlign w:val="center"/>
          </w:tcPr>
          <w:p w14:paraId="1406DF73" w14:textId="30AD9CD8" w:rsidR="00283807" w:rsidRPr="009A3197" w:rsidRDefault="00CB4EA5" w:rsidP="000E4968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 w:rsidRPr="009A3197">
              <w:rPr>
                <w:rFonts w:cstheme="minorHAnsi"/>
                <w:sz w:val="22"/>
                <w:szCs w:val="22"/>
              </w:rPr>
              <w:t>5 0</w:t>
            </w:r>
            <w:r w:rsidR="00F63553" w:rsidRPr="009A3197">
              <w:rPr>
                <w:rFonts w:cstheme="minorHAnsi"/>
                <w:sz w:val="22"/>
                <w:szCs w:val="22"/>
              </w:rPr>
              <w:t>00</w:t>
            </w:r>
          </w:p>
        </w:tc>
      </w:tr>
      <w:tr w:rsidR="00283807" w:rsidRPr="00B94589" w14:paraId="404171FC" w14:textId="77777777" w:rsidTr="007D5092">
        <w:tc>
          <w:tcPr>
            <w:tcW w:w="3305" w:type="dxa"/>
          </w:tcPr>
          <w:p w14:paraId="172FEE7B" w14:textId="77777777" w:rsidR="00283807" w:rsidRPr="008A6E42" w:rsidRDefault="00283807" w:rsidP="000E4968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Hemokultivační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lahvičky pediatrické</w:t>
            </w:r>
          </w:p>
        </w:tc>
        <w:tc>
          <w:tcPr>
            <w:tcW w:w="5037" w:type="dxa"/>
            <w:vAlign w:val="center"/>
          </w:tcPr>
          <w:p w14:paraId="24DCA8B8" w14:textId="772F54F1" w:rsidR="00283807" w:rsidRPr="009A3197" w:rsidRDefault="00F63553" w:rsidP="00CB4EA5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 w:rsidRPr="009A3197">
              <w:rPr>
                <w:rFonts w:cstheme="minorHAnsi"/>
                <w:sz w:val="22"/>
                <w:szCs w:val="22"/>
              </w:rPr>
              <w:t xml:space="preserve">1 </w:t>
            </w:r>
            <w:r w:rsidR="00CB4EA5" w:rsidRPr="009A3197">
              <w:rPr>
                <w:rFonts w:cstheme="minorHAnsi"/>
                <w:sz w:val="22"/>
                <w:szCs w:val="22"/>
              </w:rPr>
              <w:t>0</w:t>
            </w:r>
            <w:r w:rsidRPr="009A3197">
              <w:rPr>
                <w:rFonts w:cstheme="minorHAnsi"/>
                <w:sz w:val="22"/>
                <w:szCs w:val="22"/>
              </w:rPr>
              <w:t>00</w:t>
            </w:r>
          </w:p>
        </w:tc>
      </w:tr>
    </w:tbl>
    <w:p w14:paraId="29BEB3E7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sz w:val="22"/>
          <w:szCs w:val="22"/>
        </w:rPr>
      </w:pPr>
    </w:p>
    <w:p w14:paraId="14087937" w14:textId="77777777" w:rsidR="0001215E" w:rsidRDefault="0001215E" w:rsidP="0001215E">
      <w:pPr>
        <w:pStyle w:val="Standard"/>
        <w:numPr>
          <w:ilvl w:val="1"/>
          <w:numId w:val="9"/>
        </w:numPr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Úplný návod k použití (příbalové letáky) v českém jazyce</w:t>
      </w:r>
      <w:bookmarkStart w:id="0" w:name="_GoBack"/>
      <w:bookmarkEnd w:id="0"/>
    </w:p>
    <w:p w14:paraId="241EF3B8" w14:textId="77777777" w:rsidR="0001215E" w:rsidRDefault="0001215E" w:rsidP="0001215E">
      <w:pPr>
        <w:pStyle w:val="Standard"/>
        <w:numPr>
          <w:ilvl w:val="1"/>
          <w:numId w:val="9"/>
        </w:numPr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každé dodané šarži certifikát o provedení výstupní kontroly</w:t>
      </w:r>
    </w:p>
    <w:p w14:paraId="650597C6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sz w:val="22"/>
          <w:szCs w:val="22"/>
        </w:rPr>
      </w:pPr>
    </w:p>
    <w:p w14:paraId="229C6F9B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sz w:val="22"/>
          <w:szCs w:val="22"/>
        </w:rPr>
      </w:pPr>
    </w:p>
    <w:p w14:paraId="66725DA1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sz w:val="22"/>
          <w:szCs w:val="22"/>
        </w:rPr>
      </w:pPr>
    </w:p>
    <w:p w14:paraId="4C7EDEE7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sz w:val="22"/>
          <w:szCs w:val="22"/>
        </w:rPr>
      </w:pPr>
    </w:p>
    <w:p w14:paraId="3A3A0F99" w14:textId="77777777" w:rsidR="0001215E" w:rsidRDefault="0001215E" w:rsidP="0001215E">
      <w:pPr>
        <w:pStyle w:val="Standard"/>
        <w:spacing w:before="6"/>
        <w:rPr>
          <w:rFonts w:asciiTheme="minorHAnsi" w:hAnsiTheme="minorHAnsi" w:cstheme="minorHAnsi"/>
          <w:sz w:val="22"/>
          <w:szCs w:val="22"/>
        </w:rPr>
      </w:pPr>
    </w:p>
    <w:p w14:paraId="26C99944" w14:textId="318E98B9" w:rsidR="00920863" w:rsidRDefault="00920863" w:rsidP="00920863">
      <w:pPr>
        <w:spacing w:line="276" w:lineRule="auto"/>
        <w:jc w:val="both"/>
        <w:rPr>
          <w:rFonts w:eastAsia="TimesNewRoman" w:cstheme="minorHAnsi"/>
        </w:rPr>
      </w:pPr>
    </w:p>
    <w:p w14:paraId="0E009850" w14:textId="60F4E054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Dodavatel prohlašuje, že jím nabízené plnění splňuje všechny požadavky uvedené v této Příloze č. 2 Technická specifikace</w:t>
      </w:r>
    </w:p>
    <w:p w14:paraId="47DFFFEA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</w:p>
    <w:p w14:paraId="77699F74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V ……(vyplní dodavatel)……… dne ……(vyplní dodavatel)………</w:t>
      </w:r>
    </w:p>
    <w:p w14:paraId="2A17111D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</w:p>
    <w:p w14:paraId="51F855A2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Za společnost</w:t>
      </w:r>
    </w:p>
    <w:p w14:paraId="3EFA085C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</w:p>
    <w:p w14:paraId="191F8977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……………………(vyplní dodavatel)……………………………….</w:t>
      </w:r>
    </w:p>
    <w:p w14:paraId="69E95E1D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</w:p>
    <w:p w14:paraId="38CC6E1B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Osoba oprávněná jednat za dodavatele (pozice, titul, jméno, příjmení)</w:t>
      </w:r>
    </w:p>
    <w:p w14:paraId="15A8C70C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</w:p>
    <w:p w14:paraId="06E8C48C" w14:textId="77777777" w:rsidR="00920863" w:rsidRPr="00222656" w:rsidRDefault="00920863" w:rsidP="00920863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……………………(vyplní dodavatel)……………………………….</w:t>
      </w:r>
    </w:p>
    <w:p w14:paraId="4685B70A" w14:textId="77777777" w:rsidR="00920863" w:rsidRPr="00920863" w:rsidRDefault="00920863" w:rsidP="00920863">
      <w:pPr>
        <w:spacing w:line="276" w:lineRule="auto"/>
        <w:jc w:val="both"/>
        <w:rPr>
          <w:rFonts w:eastAsia="TimesNewRoman" w:cstheme="minorHAnsi"/>
        </w:rPr>
      </w:pPr>
    </w:p>
    <w:sectPr w:rsidR="00920863" w:rsidRPr="00920863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54A6" w14:textId="77777777" w:rsidR="002B467D" w:rsidRDefault="002B467D">
      <w:r>
        <w:separator/>
      </w:r>
    </w:p>
  </w:endnote>
  <w:endnote w:type="continuationSeparator" w:id="0">
    <w:p w14:paraId="273ACE5E" w14:textId="77777777" w:rsidR="002B467D" w:rsidRDefault="002B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5A85" w14:textId="0C88869A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A319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A319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65356C1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D7FBA8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A90C" w14:textId="77777777" w:rsidR="002B467D" w:rsidRDefault="002B467D">
      <w:r>
        <w:separator/>
      </w:r>
    </w:p>
  </w:footnote>
  <w:footnote w:type="continuationSeparator" w:id="0">
    <w:p w14:paraId="4C3587FE" w14:textId="77777777" w:rsidR="002B467D" w:rsidRDefault="002B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12BF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04F7FD" wp14:editId="59AA4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919"/>
    <w:multiLevelType w:val="multilevel"/>
    <w:tmpl w:val="EE0E3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1B1"/>
    <w:multiLevelType w:val="hybridMultilevel"/>
    <w:tmpl w:val="5F942AF8"/>
    <w:lvl w:ilvl="0" w:tplc="4E125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FBC"/>
    <w:multiLevelType w:val="hybridMultilevel"/>
    <w:tmpl w:val="DFFA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5E14"/>
    <w:multiLevelType w:val="hybridMultilevel"/>
    <w:tmpl w:val="01C4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3E4"/>
    <w:multiLevelType w:val="hybridMultilevel"/>
    <w:tmpl w:val="3CC81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C330A"/>
    <w:multiLevelType w:val="hybridMultilevel"/>
    <w:tmpl w:val="A4B09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15E"/>
    <w:rsid w:val="00012711"/>
    <w:rsid w:val="000531A8"/>
    <w:rsid w:val="00062100"/>
    <w:rsid w:val="00083870"/>
    <w:rsid w:val="000940FA"/>
    <w:rsid w:val="000A1108"/>
    <w:rsid w:val="000A75BA"/>
    <w:rsid w:val="000B290C"/>
    <w:rsid w:val="000B7169"/>
    <w:rsid w:val="000C2212"/>
    <w:rsid w:val="000E4195"/>
    <w:rsid w:val="000F1F39"/>
    <w:rsid w:val="000F554F"/>
    <w:rsid w:val="001B1390"/>
    <w:rsid w:val="00203DE2"/>
    <w:rsid w:val="00213A4B"/>
    <w:rsid w:val="00214FCD"/>
    <w:rsid w:val="002351FB"/>
    <w:rsid w:val="00243398"/>
    <w:rsid w:val="00252DFD"/>
    <w:rsid w:val="00275C64"/>
    <w:rsid w:val="00283807"/>
    <w:rsid w:val="00283D4C"/>
    <w:rsid w:val="00284A31"/>
    <w:rsid w:val="002A60C9"/>
    <w:rsid w:val="002B467D"/>
    <w:rsid w:val="002F4981"/>
    <w:rsid w:val="00333DE8"/>
    <w:rsid w:val="0034049C"/>
    <w:rsid w:val="00344595"/>
    <w:rsid w:val="003543C8"/>
    <w:rsid w:val="003A2929"/>
    <w:rsid w:val="003C46D3"/>
    <w:rsid w:val="003C4F99"/>
    <w:rsid w:val="003C52AC"/>
    <w:rsid w:val="003D5302"/>
    <w:rsid w:val="003E063A"/>
    <w:rsid w:val="003E3C9B"/>
    <w:rsid w:val="003F4815"/>
    <w:rsid w:val="00400DED"/>
    <w:rsid w:val="00455CED"/>
    <w:rsid w:val="00474807"/>
    <w:rsid w:val="00480EFE"/>
    <w:rsid w:val="00482B98"/>
    <w:rsid w:val="00485863"/>
    <w:rsid w:val="004C2749"/>
    <w:rsid w:val="004D3CF1"/>
    <w:rsid w:val="004D5609"/>
    <w:rsid w:val="005133B6"/>
    <w:rsid w:val="00513EA2"/>
    <w:rsid w:val="00552347"/>
    <w:rsid w:val="00564F37"/>
    <w:rsid w:val="00580933"/>
    <w:rsid w:val="005845FD"/>
    <w:rsid w:val="005B7231"/>
    <w:rsid w:val="005C4039"/>
    <w:rsid w:val="005D3C5E"/>
    <w:rsid w:val="005D5B16"/>
    <w:rsid w:val="005F4971"/>
    <w:rsid w:val="005F6FAB"/>
    <w:rsid w:val="006023D2"/>
    <w:rsid w:val="00605CD6"/>
    <w:rsid w:val="0061632F"/>
    <w:rsid w:val="0063426F"/>
    <w:rsid w:val="00642CAE"/>
    <w:rsid w:val="00663F28"/>
    <w:rsid w:val="00666924"/>
    <w:rsid w:val="00690917"/>
    <w:rsid w:val="00695A0E"/>
    <w:rsid w:val="006B13C0"/>
    <w:rsid w:val="006C47B8"/>
    <w:rsid w:val="006D219C"/>
    <w:rsid w:val="006F5166"/>
    <w:rsid w:val="00711230"/>
    <w:rsid w:val="00727C43"/>
    <w:rsid w:val="00761604"/>
    <w:rsid w:val="00771B4B"/>
    <w:rsid w:val="007900EE"/>
    <w:rsid w:val="007B0270"/>
    <w:rsid w:val="007D36A3"/>
    <w:rsid w:val="007F43A1"/>
    <w:rsid w:val="00827DAE"/>
    <w:rsid w:val="008415A3"/>
    <w:rsid w:val="008534FA"/>
    <w:rsid w:val="008A0425"/>
    <w:rsid w:val="008C5BCE"/>
    <w:rsid w:val="00914A50"/>
    <w:rsid w:val="00920863"/>
    <w:rsid w:val="009331CB"/>
    <w:rsid w:val="00952A91"/>
    <w:rsid w:val="00954822"/>
    <w:rsid w:val="0095485A"/>
    <w:rsid w:val="0095627E"/>
    <w:rsid w:val="00986EE5"/>
    <w:rsid w:val="009A28BD"/>
    <w:rsid w:val="009A3197"/>
    <w:rsid w:val="009A6739"/>
    <w:rsid w:val="009E5790"/>
    <w:rsid w:val="009E6A9A"/>
    <w:rsid w:val="00A0192F"/>
    <w:rsid w:val="00A151CE"/>
    <w:rsid w:val="00A34FBD"/>
    <w:rsid w:val="00A44325"/>
    <w:rsid w:val="00A540F2"/>
    <w:rsid w:val="00AB217F"/>
    <w:rsid w:val="00AB6878"/>
    <w:rsid w:val="00AD4E6A"/>
    <w:rsid w:val="00AD5996"/>
    <w:rsid w:val="00AF39F6"/>
    <w:rsid w:val="00B132F5"/>
    <w:rsid w:val="00B205BE"/>
    <w:rsid w:val="00B32DD2"/>
    <w:rsid w:val="00B33940"/>
    <w:rsid w:val="00B63C19"/>
    <w:rsid w:val="00B71BAB"/>
    <w:rsid w:val="00B91045"/>
    <w:rsid w:val="00BD4FDD"/>
    <w:rsid w:val="00BE6A4B"/>
    <w:rsid w:val="00BF439D"/>
    <w:rsid w:val="00C0688C"/>
    <w:rsid w:val="00C26186"/>
    <w:rsid w:val="00C35BCE"/>
    <w:rsid w:val="00CB1154"/>
    <w:rsid w:val="00CB374F"/>
    <w:rsid w:val="00CB4EA5"/>
    <w:rsid w:val="00CD60AD"/>
    <w:rsid w:val="00CE4272"/>
    <w:rsid w:val="00D013BE"/>
    <w:rsid w:val="00D34407"/>
    <w:rsid w:val="00D35E7D"/>
    <w:rsid w:val="00D54888"/>
    <w:rsid w:val="00D87F13"/>
    <w:rsid w:val="00DB723D"/>
    <w:rsid w:val="00DD1732"/>
    <w:rsid w:val="00E164FB"/>
    <w:rsid w:val="00E200BE"/>
    <w:rsid w:val="00E2530B"/>
    <w:rsid w:val="00E66D87"/>
    <w:rsid w:val="00E70CC0"/>
    <w:rsid w:val="00E71597"/>
    <w:rsid w:val="00E73E15"/>
    <w:rsid w:val="00ED7485"/>
    <w:rsid w:val="00EF0390"/>
    <w:rsid w:val="00EF3235"/>
    <w:rsid w:val="00F01019"/>
    <w:rsid w:val="00F0587F"/>
    <w:rsid w:val="00F066B9"/>
    <w:rsid w:val="00F1099E"/>
    <w:rsid w:val="00F1223E"/>
    <w:rsid w:val="00F1498B"/>
    <w:rsid w:val="00F63553"/>
    <w:rsid w:val="00F657AD"/>
    <w:rsid w:val="00FA292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15DBE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Bezmezer"/>
    <w:link w:val="Nadpis1Char"/>
    <w:uiPriority w:val="9"/>
    <w:qFormat/>
    <w:rsid w:val="00FE2CF3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2CF3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E2CF3"/>
    <w:rPr>
      <w:rFonts w:eastAsiaTheme="majorEastAsia" w:cstheme="majorBid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E2CF3"/>
    <w:rPr>
      <w:rFonts w:eastAsiaTheme="majorEastAsia" w:cstheme="majorBidi"/>
      <w:b/>
      <w:sz w:val="28"/>
      <w:szCs w:val="26"/>
      <w:lang w:eastAsia="en-US"/>
    </w:rPr>
  </w:style>
  <w:style w:type="paragraph" w:styleId="Bezmezer">
    <w:name w:val="No Spacing"/>
    <w:uiPriority w:val="1"/>
    <w:qFormat/>
    <w:rsid w:val="00FE2CF3"/>
    <w:pPr>
      <w:ind w:firstLine="709"/>
    </w:pPr>
    <w:rPr>
      <w:rFonts w:eastAsiaTheme="minorHAnsi" w:cstheme="minorBidi"/>
      <w:sz w:val="24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121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1215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Zkladntext">
    <w:name w:val="Body Text"/>
    <w:basedOn w:val="Normln"/>
    <w:link w:val="ZkladntextChar"/>
    <w:rsid w:val="0001215E"/>
    <w:pPr>
      <w:ind w:left="714" w:hanging="357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01215E"/>
  </w:style>
  <w:style w:type="table" w:styleId="Mkatabulky">
    <w:name w:val="Table Grid"/>
    <w:basedOn w:val="Normlntabulka"/>
    <w:uiPriority w:val="39"/>
    <w:rsid w:val="000121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3E06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63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6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3E06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6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04A4-71CA-4A35-B771-2F0337C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823C3-A161-4CEF-BB4B-EC387BB3E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56422-08D7-4AB3-9B89-081A36121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E8487-0AAE-4B91-B1D4-005031B7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3</cp:revision>
  <cp:lastPrinted>2020-04-29T08:10:00Z</cp:lastPrinted>
  <dcterms:created xsi:type="dcterms:W3CDTF">2023-02-20T08:44:00Z</dcterms:created>
  <dcterms:modified xsi:type="dcterms:W3CDTF">2023-02-28T08:32:00Z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