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D7789" w14:textId="77777777" w:rsidR="00610F32" w:rsidRPr="00FB45E7" w:rsidRDefault="00610F32" w:rsidP="00610F32">
      <w:pPr>
        <w:jc w:val="both"/>
        <w:rPr>
          <w:rFonts w:ascii="Times New Roman" w:hAnsi="Times New Roman" w:cs="Times New Roman"/>
          <w:sz w:val="36"/>
          <w:szCs w:val="36"/>
        </w:rPr>
      </w:pPr>
      <w:r w:rsidRPr="00FB45E7">
        <w:rPr>
          <w:rFonts w:ascii="Times New Roman" w:hAnsi="Times New Roman" w:cs="Times New Roman"/>
          <w:b/>
          <w:sz w:val="36"/>
          <w:szCs w:val="36"/>
        </w:rPr>
        <w:t xml:space="preserve">Příloha č.  3 – </w:t>
      </w:r>
      <w:bookmarkStart w:id="0" w:name="_Hlk40799133"/>
      <w:r w:rsidRPr="00FB45E7">
        <w:rPr>
          <w:rFonts w:ascii="Times New Roman" w:hAnsi="Times New Roman" w:cs="Times New Roman"/>
          <w:b/>
          <w:sz w:val="36"/>
          <w:szCs w:val="36"/>
        </w:rPr>
        <w:t>Zvláštní podmínky Objednatele pro některé dodávky</w:t>
      </w:r>
      <w:bookmarkEnd w:id="0"/>
    </w:p>
    <w:p w14:paraId="474F67B6" w14:textId="77777777" w:rsidR="00610F32" w:rsidRPr="00FB45E7" w:rsidRDefault="00610F32" w:rsidP="00610F32">
      <w:pPr>
        <w:pStyle w:val="RLTextlnkuslovan"/>
        <w:numPr>
          <w:ilvl w:val="0"/>
          <w:numId w:val="1"/>
        </w:numPr>
        <w:tabs>
          <w:tab w:val="num" w:pos="567"/>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S ohledem na skutečnost, že předmětem Smlouvy a součástí Díla jsou i Dodávky technologií, tedy dodávky, montáž a instalace zdravotnické techniky a přístrojů (zejm. přístrojové vybavení a zdravotnické prostředky), včetně jejího uvedení do provozu a provedení všech testů podle platných právních předpisů (dále také jen „</w:t>
      </w:r>
      <w:r w:rsidRPr="00FB45E7">
        <w:rPr>
          <w:rFonts w:ascii="Times New Roman" w:hAnsi="Times New Roman"/>
          <w:b/>
          <w:sz w:val="22"/>
          <w:szCs w:val="22"/>
          <w:lang w:eastAsia="x-none"/>
        </w:rPr>
        <w:t>Přístroje</w:t>
      </w:r>
      <w:r w:rsidRPr="00FB45E7">
        <w:rPr>
          <w:rFonts w:ascii="Times New Roman" w:hAnsi="Times New Roman"/>
          <w:sz w:val="22"/>
          <w:szCs w:val="22"/>
          <w:lang w:eastAsia="x-none"/>
        </w:rPr>
        <w:t>“), dohodly se smluvní strany, že dodání Přístrojů se bude řídit touto přílohou a ustanoveními občanského zákoníku o kupní smlouvě.</w:t>
      </w:r>
    </w:p>
    <w:p w14:paraId="4C4A79A6" w14:textId="0F8644B2"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 xml:space="preserve">Smluvní strany se dohodly, že předmětem Smlouvy je montáž, instalace a uvedení Přístrojů do provozu, provedení všech provozních testů podle platné legislativy, a dále provedení příslušných revizí Přístrojů, instruktáž zdravotnických pracovníků v souladu s platnými právními předpisy (např. podle ust. § 61 zákona č. 268/2014 Sb., </w:t>
      </w:r>
      <w:r w:rsidR="00C04ADE" w:rsidRPr="00C04ADE">
        <w:rPr>
          <w:rFonts w:ascii="Times New Roman" w:hAnsi="Times New Roman"/>
          <w:sz w:val="22"/>
          <w:szCs w:val="22"/>
          <w:lang w:eastAsia="x-none"/>
        </w:rPr>
        <w:t>o diagnostických zdravotnických prostředcích in vitro</w:t>
      </w:r>
      <w:r w:rsidRPr="00FB45E7">
        <w:rPr>
          <w:rFonts w:ascii="Times New Roman" w:hAnsi="Times New Roman"/>
          <w:sz w:val="22"/>
          <w:szCs w:val="22"/>
          <w:lang w:eastAsia="x-none"/>
        </w:rPr>
        <w:t xml:space="preserve">, ve znění pozdějších předpisů, nebo ust. § 41 zákona 89/2021 Sb., o zdravotnických prostředcích a o změně zákona č. 378/2007 Sb., o léčivech a o změnách některých souvisejících zákonů (zákon o léčivech), ve znění pozdějších předpisů) a pracovníka </w:t>
      </w:r>
      <w:r w:rsidR="001221E1">
        <w:rPr>
          <w:rFonts w:ascii="Times New Roman" w:hAnsi="Times New Roman"/>
          <w:sz w:val="22"/>
          <w:szCs w:val="22"/>
          <w:lang w:eastAsia="x-none"/>
        </w:rPr>
        <w:t>Odboru</w:t>
      </w:r>
      <w:r w:rsidRPr="00FB45E7">
        <w:rPr>
          <w:rFonts w:ascii="Times New Roman" w:hAnsi="Times New Roman"/>
          <w:sz w:val="22"/>
          <w:szCs w:val="22"/>
          <w:lang w:eastAsia="x-none"/>
        </w:rPr>
        <w:t xml:space="preserve"> obslužných klinických činností (dále jen „</w:t>
      </w:r>
      <w:r w:rsidRPr="00FB45E7">
        <w:rPr>
          <w:rFonts w:ascii="Times New Roman" w:hAnsi="Times New Roman"/>
          <w:b/>
          <w:sz w:val="22"/>
          <w:szCs w:val="22"/>
          <w:lang w:eastAsia="x-none"/>
        </w:rPr>
        <w:t>OOKC</w:t>
      </w:r>
      <w:r w:rsidRPr="00FB45E7">
        <w:rPr>
          <w:rFonts w:ascii="Times New Roman" w:hAnsi="Times New Roman"/>
          <w:sz w:val="22"/>
          <w:szCs w:val="22"/>
          <w:lang w:eastAsia="x-none"/>
        </w:rPr>
        <w:t xml:space="preserve">“), včetně opakovaných instruktáží zdravotnických pracovníků v průběhu záruční doby, předání dokladů dle níže uvedeného a dále záruční servis Přístrojů dle níže uvedených podmínek. </w:t>
      </w:r>
    </w:p>
    <w:p w14:paraId="6029A88C" w14:textId="77777777"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Přesnou specifikaci Přístrojů dodaných Zhotovitelem podle Smlouvy je Zhotovitel povinen předat Objednateli v listinné podobě nejpozději při předání a převzetí Díla pro zkušební provoz, pokud tyto dokumenty Zhotovitel nepředal Objednateli již dříve na základě Smlouvy. Zhotovitel se zavazuje, že Přístroje, které je Zhotovitel povinen dodat v rámci Díla, budou nové, nerepasované a nepoužité. Zároveň se zavazuje, že budou v kvalitě, jež bude v souladu s příslušnými platnými právními předpisy a technickými či jinými normami, a to jak v České republice, tak i v zemi výrobce. Splnění povinností Zhotovitele v tomto bodu je podmínkou převzetí Díla Objednatelem pro zahájení zkušebního provozu ve smyslu Smlouvy.</w:t>
      </w:r>
    </w:p>
    <w:p w14:paraId="3933FB7F" w14:textId="77777777"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Zhotovitel je povinen Objednateli předat nejpozději při předání a převzetí Díla pro zkušební provoz</w:t>
      </w:r>
      <w:r w:rsidRPr="00FB45E7" w:rsidDel="00D77560">
        <w:rPr>
          <w:rFonts w:ascii="Times New Roman" w:hAnsi="Times New Roman"/>
          <w:sz w:val="22"/>
          <w:szCs w:val="22"/>
          <w:lang w:eastAsia="x-none"/>
        </w:rPr>
        <w:t xml:space="preserve"> </w:t>
      </w:r>
      <w:r w:rsidRPr="00FB45E7">
        <w:rPr>
          <w:rFonts w:ascii="Times New Roman" w:hAnsi="Times New Roman"/>
          <w:sz w:val="22"/>
          <w:szCs w:val="22"/>
          <w:lang w:eastAsia="x-none"/>
        </w:rPr>
        <w:t>doklady, které jsou potřebné pro používání Přístrojů (event., které jsou Objednatelem požadovány pro připojení do IT infrastruktury, NIS, PACS apod.), a které osvědčují technické požadavky na Přístroje, jako např. návod k použití v českém jazyce (i v elektronické podobě na CD/DVD), příslušné certifikáty, atesty osvědčující, že přístroj je vyroben v souladu s platnými bezpečnostními normami a ČSN, kopii prohlášení o shodě (deklaraci CE) a další doklady dle platných právních předpisů. V případě Přístrojů se zdroji ionizujícího záření navíc také dokumentaci podle zákona č. 263/2016 Sb., atomový zákon, ve znění pozdějších předpisů, a jeho prováděcích předpisů, zejména vyhlášky č. 422/2016 Sb., o radiační ochraně a zabezpečení radionuklidového zdroje, ve znění pozdějších předpisů, pokud tyto dokumenty Zhotovitel nepředal Objednateli již dříve na základě Smlouvy. Splnění povinností Zhotovitele v tomto bodu je podmínkou převzetí Díla Objednatelem pro zahájení zkušebního provozu ve smyslu Smlouvy.</w:t>
      </w:r>
    </w:p>
    <w:p w14:paraId="1A43FB8D" w14:textId="62A86755"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Dále je Zhotovitel povinen předat Objednateli nejpozději při předání a převzetí Díla pro zkušební provoz</w:t>
      </w:r>
      <w:r w:rsidRPr="00FB45E7" w:rsidDel="00D77560">
        <w:rPr>
          <w:rFonts w:ascii="Times New Roman" w:hAnsi="Times New Roman"/>
          <w:sz w:val="22"/>
          <w:szCs w:val="22"/>
          <w:lang w:eastAsia="x-none"/>
        </w:rPr>
        <w:t xml:space="preserve"> </w:t>
      </w:r>
      <w:r w:rsidRPr="00FB45E7">
        <w:rPr>
          <w:rFonts w:ascii="Times New Roman" w:hAnsi="Times New Roman"/>
          <w:sz w:val="22"/>
          <w:szCs w:val="22"/>
          <w:lang w:eastAsia="x-none"/>
        </w:rPr>
        <w:t xml:space="preserve">k veškerému softwarovému vybavení všech komponent Přístrojů licenci / licenční ujednání na užívání softwarového vybavení Přístrojů Objednatelem platnou k datu předání (popř. písemného vyjádření, že licenční ujednání neexistuje) a všechny licenční materiály, které jsou součástí licence na užívání softwarového vybavení (např. licenční číslo, licenční klíč, licenční certifikát, licenční oprávnění, štítek prokazující pravost licence, instalačních médií, </w:t>
      </w:r>
      <w:r w:rsidRPr="00FB45E7">
        <w:rPr>
          <w:rFonts w:ascii="Times New Roman" w:hAnsi="Times New Roman"/>
          <w:sz w:val="22"/>
          <w:szCs w:val="22"/>
          <w:lang w:eastAsia="x-none"/>
        </w:rPr>
        <w:lastRenderedPageBreak/>
        <w:t>hardwarového klíče, dokumentaci vztahující se k</w:t>
      </w:r>
      <w:r w:rsidR="00C04ADE">
        <w:rPr>
          <w:rFonts w:ascii="Times New Roman" w:hAnsi="Times New Roman"/>
          <w:sz w:val="22"/>
          <w:szCs w:val="22"/>
          <w:lang w:eastAsia="x-none"/>
        </w:rPr>
        <w:t> </w:t>
      </w:r>
      <w:r w:rsidRPr="00FB45E7">
        <w:rPr>
          <w:rFonts w:ascii="Times New Roman" w:hAnsi="Times New Roman"/>
          <w:sz w:val="22"/>
          <w:szCs w:val="22"/>
          <w:lang w:eastAsia="x-none"/>
        </w:rPr>
        <w:t>licenci</w:t>
      </w:r>
      <w:r w:rsidR="00C04ADE">
        <w:rPr>
          <w:rFonts w:ascii="Times New Roman" w:hAnsi="Times New Roman"/>
          <w:sz w:val="22"/>
          <w:szCs w:val="22"/>
          <w:lang w:eastAsia="x-none"/>
        </w:rPr>
        <w:t>,</w:t>
      </w:r>
      <w:r w:rsidRPr="00FB45E7">
        <w:rPr>
          <w:rFonts w:ascii="Times New Roman" w:hAnsi="Times New Roman"/>
          <w:sz w:val="22"/>
          <w:szCs w:val="22"/>
          <w:lang w:eastAsia="x-none"/>
        </w:rPr>
        <w:t xml:space="preserve"> apod.). Splnění povinností Zhotovitele v tomto bodu je podmínkou převzetí Díla </w:t>
      </w:r>
      <w:bookmarkStart w:id="1" w:name="_Hlk71720983"/>
      <w:r w:rsidRPr="00FB45E7">
        <w:rPr>
          <w:rFonts w:ascii="Times New Roman" w:hAnsi="Times New Roman"/>
          <w:sz w:val="22"/>
          <w:szCs w:val="22"/>
          <w:lang w:eastAsia="x-none"/>
        </w:rPr>
        <w:t>Objednatelem pro zahájení zkušebního provozu ve smyslu Smlouvy</w:t>
      </w:r>
      <w:bookmarkEnd w:id="1"/>
      <w:r w:rsidRPr="00FB45E7">
        <w:rPr>
          <w:rFonts w:ascii="Times New Roman" w:hAnsi="Times New Roman"/>
          <w:sz w:val="22"/>
          <w:szCs w:val="22"/>
          <w:lang w:eastAsia="x-none"/>
        </w:rPr>
        <w:t>.</w:t>
      </w:r>
    </w:p>
    <w:p w14:paraId="3D15FD7B" w14:textId="77777777"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 xml:space="preserve">V případě, že součástí jakéhokoliv Přístroje je i software, musí příslušný daňový doklad (faktura) Zhotovitele na daný Přístroj obsahovat veškeré náležitosti nezbytné k prokázání legálního nabytí licencí na užívání software, které jsou předmětem plnění Smlouvy (dodávaných samostatně nebo jako součást některé dílčí části předmětu plnění), nedohodnou-li se smluvní strany jinak. Minimálně musí pro každou licenci na užívání software obsahovat daňový doklad (faktura) přesnou a úplnou specifikaci licence na užívání software (název software, verze software, licenční model a typ,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bookmarkStart w:id="2" w:name="_Hlk40798790"/>
      <w:r w:rsidRPr="00FB45E7">
        <w:rPr>
          <w:rFonts w:ascii="Times New Roman" w:hAnsi="Times New Roman"/>
          <w:sz w:val="22"/>
          <w:szCs w:val="22"/>
          <w:lang w:eastAsia="x-none"/>
        </w:rPr>
        <w:t>Nesplnění této podmínky je důvodem k vrácení daňového dokladu (faktury) Zhotoviteli podle Smlouvy.</w:t>
      </w:r>
      <w:bookmarkEnd w:id="2"/>
      <w:r w:rsidRPr="00FB45E7">
        <w:rPr>
          <w:rFonts w:ascii="Times New Roman" w:hAnsi="Times New Roman"/>
          <w:sz w:val="22"/>
          <w:szCs w:val="22"/>
          <w:lang w:eastAsia="x-none"/>
        </w:rPr>
        <w:t xml:space="preserve"> Lhůta splatnosti nového daňového dokladu začíná běžet dnem prokazatelného převzetí nového daňového dokladu Objednatelem.</w:t>
      </w:r>
    </w:p>
    <w:p w14:paraId="0FAA2670" w14:textId="77777777"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 xml:space="preserve">Nebezpečí škody na Přístrojích a vlastnické právo k nim přechází ze Zhotovitele na Objednatele okamžikem </w:t>
      </w:r>
      <w:r w:rsidRPr="00FB45E7">
        <w:rPr>
          <w:rFonts w:ascii="Times New Roman" w:hAnsi="Times New Roman"/>
          <w:sz w:val="22"/>
          <w:szCs w:val="22"/>
          <w:lang w:eastAsia="en-US"/>
        </w:rPr>
        <w:t xml:space="preserve">převzetí Díla </w:t>
      </w:r>
      <w:r w:rsidRPr="00FB45E7">
        <w:rPr>
          <w:rFonts w:ascii="Times New Roman" w:hAnsi="Times New Roman"/>
          <w:sz w:val="22"/>
          <w:szCs w:val="22"/>
          <w:lang w:eastAsia="x-none"/>
        </w:rPr>
        <w:t>Objednatelem podle Smlouvy.</w:t>
      </w:r>
    </w:p>
    <w:p w14:paraId="0D91467F" w14:textId="77777777"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Na Přístroje poskytuje Zhotovitel Objednateli záruku 24 měsíců. Zhotovitel se zavazuje v rámci této záruky provádět opravy poruch a závad Přístrojů, tj. uvádět Přístroje do stavu plné využitelnosti jejich technických parametrů, provádět dodávky všech náhradních dílů a provádět standardní vylepšení Přístrojů dle pokynů výrobce. Záruka se vztahuje i na příslušenství, které je nutné k plnému a bezpečnému využití dodaných Přístrojů po celou záruční dobu. Stejně tak dodá Zhotovitel spotřební materiál potřebný pro jím prováděný servis a pravidelnou údržbu, revize, předepsané kontroly a prohlídky, kalibrace a validace. Cena za tento materiál je v potřebném množství a kvalitě po celou záruční dobu již zahrnuta v Celkové ceně Díla.</w:t>
      </w:r>
    </w:p>
    <w:p w14:paraId="194A2545" w14:textId="77777777"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V případě uplatnění práva ze záruky na části Díla (Přístroje), na které se vztahuje tato, se Zhotovitel zavazuje, že doba nástupu servisního technika na opravu bude maximálně 24 hodin od nahlášení závady. Kontaktní údaje Zhotovitele pro účely hlášení závad: [</w:t>
      </w:r>
      <w:r w:rsidRPr="00FB45E7">
        <w:rPr>
          <w:rFonts w:ascii="Times New Roman" w:hAnsi="Times New Roman"/>
          <w:sz w:val="22"/>
          <w:szCs w:val="22"/>
          <w:highlight w:val="yellow"/>
          <w:lang w:eastAsia="x-none"/>
        </w:rPr>
        <w:t>DOPLNÍ DODAVATEL</w:t>
      </w:r>
      <w:r w:rsidRPr="00FB45E7">
        <w:rPr>
          <w:rFonts w:ascii="Times New Roman" w:hAnsi="Times New Roman"/>
          <w:sz w:val="22"/>
          <w:szCs w:val="22"/>
          <w:lang w:eastAsia="x-none"/>
        </w:rPr>
        <w:t>], tel.: [</w:t>
      </w:r>
      <w:r w:rsidRPr="00FB45E7">
        <w:rPr>
          <w:rFonts w:ascii="Times New Roman" w:hAnsi="Times New Roman"/>
          <w:sz w:val="22"/>
          <w:szCs w:val="22"/>
          <w:highlight w:val="yellow"/>
          <w:lang w:eastAsia="x-none"/>
        </w:rPr>
        <w:t>DOPLNÍ DODAVATEL</w:t>
      </w:r>
      <w:r w:rsidRPr="00FB45E7">
        <w:rPr>
          <w:rFonts w:ascii="Times New Roman" w:hAnsi="Times New Roman"/>
          <w:sz w:val="22"/>
          <w:szCs w:val="22"/>
          <w:lang w:eastAsia="x-none"/>
        </w:rPr>
        <w:t>], email: [</w:t>
      </w:r>
      <w:r w:rsidRPr="00FB45E7">
        <w:rPr>
          <w:rFonts w:ascii="Times New Roman" w:hAnsi="Times New Roman"/>
          <w:sz w:val="22"/>
          <w:szCs w:val="22"/>
          <w:highlight w:val="yellow"/>
          <w:lang w:eastAsia="x-none"/>
        </w:rPr>
        <w:t>DOPLNÍ DODAVATEL</w:t>
      </w:r>
      <w:r w:rsidRPr="00FB45E7">
        <w:rPr>
          <w:rFonts w:ascii="Times New Roman" w:hAnsi="Times New Roman"/>
          <w:sz w:val="22"/>
          <w:szCs w:val="22"/>
          <w:lang w:eastAsia="x-none"/>
        </w:rPr>
        <w:t>].</w:t>
      </w:r>
    </w:p>
    <w:p w14:paraId="4C848535" w14:textId="77777777"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Lhůta pro odstranění vad je 2 kalendářní dny a začíná plynout ode dne telefonického nahlášení vad Zhotoviteli. Zhotovitel do 1 kalendářního dne emailem potvrdí její přijetí.</w:t>
      </w:r>
    </w:p>
    <w:p w14:paraId="12F7247D" w14:textId="77777777"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V případě, že charakter, závažnost a rozsah vady neumožní lhůtu k odstranění vady Zhotoviteli splnit, může být Objednatelem písemně poskytnuta delší přiměřená lhůta. O hledisku, zda charakter, závažnost a rozsah vady vyžaduje poskytnutí další lhůty, a stejně tak o délce další lhůty rozhoduje Objednatel. Smluvní strany se dohodly, že záruční doba se automaticky prodlužuje o dobu, která uplyne mezi nahlášením a odstraněním vady.</w:t>
      </w:r>
    </w:p>
    <w:p w14:paraId="2E3F87E8" w14:textId="77777777" w:rsidR="00610F32" w:rsidRPr="00FB45E7" w:rsidRDefault="00610F32" w:rsidP="00610F32">
      <w:pPr>
        <w:pStyle w:val="RLTextlnkuslovan"/>
        <w:numPr>
          <w:ilvl w:val="0"/>
          <w:numId w:val="1"/>
        </w:numPr>
        <w:tabs>
          <w:tab w:val="num" w:pos="567"/>
          <w:tab w:val="num" w:pos="1474"/>
        </w:tabs>
        <w:spacing w:after="8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 xml:space="preserve">Zhotovitel se zavazuje provádět v době záruky: </w:t>
      </w:r>
    </w:p>
    <w:p w14:paraId="564DA779" w14:textId="77777777" w:rsidR="00610F32" w:rsidRPr="00FB45E7" w:rsidRDefault="00610F32" w:rsidP="00610F32">
      <w:pPr>
        <w:pStyle w:val="RLTextlnkuslovan"/>
        <w:numPr>
          <w:ilvl w:val="0"/>
          <w:numId w:val="2"/>
        </w:numPr>
        <w:spacing w:after="80" w:line="276" w:lineRule="auto"/>
        <w:ind w:left="992" w:hanging="425"/>
        <w:rPr>
          <w:rFonts w:ascii="Times New Roman" w:hAnsi="Times New Roman"/>
          <w:sz w:val="22"/>
          <w:szCs w:val="22"/>
        </w:rPr>
      </w:pPr>
      <w:r w:rsidRPr="00FB45E7">
        <w:rPr>
          <w:rFonts w:ascii="Times New Roman" w:hAnsi="Times New Roman"/>
          <w:sz w:val="22"/>
          <w:szCs w:val="22"/>
        </w:rPr>
        <w:t>výrobcem předepsané kontroly a prohlídky, kalibrace a validace, metrologická ověření;</w:t>
      </w:r>
    </w:p>
    <w:p w14:paraId="7C1E9EC6" w14:textId="77777777" w:rsidR="00610F32" w:rsidRPr="00FB45E7" w:rsidRDefault="00610F32" w:rsidP="00610F32">
      <w:pPr>
        <w:pStyle w:val="RLTextlnkuslovan"/>
        <w:numPr>
          <w:ilvl w:val="0"/>
          <w:numId w:val="2"/>
        </w:numPr>
        <w:spacing w:after="80" w:line="276" w:lineRule="auto"/>
        <w:ind w:left="992" w:hanging="425"/>
        <w:rPr>
          <w:rFonts w:ascii="Times New Roman" w:hAnsi="Times New Roman"/>
          <w:sz w:val="22"/>
          <w:szCs w:val="22"/>
        </w:rPr>
      </w:pPr>
      <w:r w:rsidRPr="00FB45E7">
        <w:rPr>
          <w:rFonts w:ascii="Times New Roman" w:hAnsi="Times New Roman"/>
          <w:sz w:val="22"/>
          <w:szCs w:val="22"/>
        </w:rPr>
        <w:t>bezpečnostně technické kontroly podle platných právních předpisů;</w:t>
      </w:r>
    </w:p>
    <w:p w14:paraId="3DBE1F9F" w14:textId="77777777" w:rsidR="00610F32" w:rsidRPr="00FB45E7" w:rsidRDefault="00610F32" w:rsidP="00610F32">
      <w:pPr>
        <w:pStyle w:val="RLTextlnkuslovan"/>
        <w:numPr>
          <w:ilvl w:val="0"/>
          <w:numId w:val="2"/>
        </w:numPr>
        <w:spacing w:after="80" w:line="276" w:lineRule="auto"/>
        <w:ind w:left="992" w:hanging="425"/>
        <w:rPr>
          <w:rFonts w:ascii="Times New Roman" w:hAnsi="Times New Roman"/>
          <w:sz w:val="22"/>
          <w:szCs w:val="22"/>
        </w:rPr>
      </w:pPr>
      <w:r w:rsidRPr="00FB45E7">
        <w:rPr>
          <w:rFonts w:ascii="Times New Roman" w:hAnsi="Times New Roman"/>
          <w:sz w:val="22"/>
          <w:szCs w:val="22"/>
        </w:rPr>
        <w:t>revize dle platných právních předpisů;</w:t>
      </w:r>
    </w:p>
    <w:p w14:paraId="41CFDCD2" w14:textId="77777777" w:rsidR="00610F32" w:rsidRPr="00FB45E7" w:rsidRDefault="00610F32" w:rsidP="00610F32">
      <w:pPr>
        <w:pStyle w:val="RLTextlnkuslovan"/>
        <w:numPr>
          <w:ilvl w:val="0"/>
          <w:numId w:val="2"/>
        </w:numPr>
        <w:spacing w:after="80" w:line="276" w:lineRule="auto"/>
        <w:ind w:left="992" w:hanging="425"/>
        <w:rPr>
          <w:rFonts w:ascii="Times New Roman" w:hAnsi="Times New Roman"/>
          <w:sz w:val="22"/>
          <w:szCs w:val="22"/>
        </w:rPr>
      </w:pPr>
      <w:r w:rsidRPr="00FB45E7">
        <w:rPr>
          <w:rFonts w:ascii="Times New Roman" w:hAnsi="Times New Roman"/>
          <w:sz w:val="22"/>
          <w:szCs w:val="22"/>
        </w:rPr>
        <w:t>v případě přístroje se zdroji ionizujícího záření zkoušky dlouhodobé stability podle zákona č. </w:t>
      </w:r>
      <w:r w:rsidRPr="00FB45E7">
        <w:rPr>
          <w:rFonts w:ascii="Times New Roman" w:hAnsi="Times New Roman"/>
          <w:sz w:val="22"/>
          <w:szCs w:val="22"/>
          <w:lang w:eastAsia="x-none"/>
        </w:rPr>
        <w:t>263/2016 Sb., atomový zákon, ve znění pozdějších předpisů</w:t>
      </w:r>
      <w:r w:rsidRPr="00FB45E7">
        <w:rPr>
          <w:rFonts w:ascii="Times New Roman" w:hAnsi="Times New Roman"/>
          <w:sz w:val="22"/>
          <w:szCs w:val="22"/>
        </w:rPr>
        <w:t>;</w:t>
      </w:r>
    </w:p>
    <w:p w14:paraId="5E5737C2" w14:textId="77777777" w:rsidR="00610F32" w:rsidRPr="00FB45E7" w:rsidRDefault="00610F32" w:rsidP="00610F32">
      <w:pPr>
        <w:pStyle w:val="RLTextlnkuslovan"/>
        <w:numPr>
          <w:ilvl w:val="0"/>
          <w:numId w:val="2"/>
        </w:numPr>
        <w:spacing w:after="80" w:line="276" w:lineRule="auto"/>
        <w:ind w:left="992" w:hanging="425"/>
        <w:rPr>
          <w:rFonts w:ascii="Times New Roman" w:hAnsi="Times New Roman"/>
          <w:sz w:val="22"/>
          <w:szCs w:val="22"/>
        </w:rPr>
      </w:pPr>
      <w:r w:rsidRPr="00FB45E7">
        <w:rPr>
          <w:rFonts w:ascii="Times New Roman" w:hAnsi="Times New Roman"/>
          <w:sz w:val="22"/>
          <w:szCs w:val="22"/>
        </w:rPr>
        <w:lastRenderedPageBreak/>
        <w:t>provádění standardních vylepšení přístroje podle nařízení výrobce, provádění bezpečnostních aktualizací a upgrade softwarového vybavení Přístroje;</w:t>
      </w:r>
    </w:p>
    <w:p w14:paraId="5302F4A7" w14:textId="77777777" w:rsidR="00610F32" w:rsidRPr="00FB45E7" w:rsidRDefault="00610F32" w:rsidP="00610F32">
      <w:pPr>
        <w:pStyle w:val="RLTextlnkuslovan"/>
        <w:numPr>
          <w:ilvl w:val="0"/>
          <w:numId w:val="2"/>
        </w:numPr>
        <w:spacing w:after="160" w:line="276" w:lineRule="auto"/>
        <w:ind w:left="992" w:hanging="425"/>
        <w:rPr>
          <w:rFonts w:ascii="Times New Roman" w:hAnsi="Times New Roman"/>
          <w:sz w:val="22"/>
          <w:szCs w:val="22"/>
        </w:rPr>
      </w:pPr>
      <w:r w:rsidRPr="00FB45E7">
        <w:rPr>
          <w:rFonts w:ascii="Times New Roman" w:hAnsi="Times New Roman"/>
          <w:sz w:val="22"/>
          <w:szCs w:val="22"/>
          <w:lang w:eastAsia="x-none"/>
        </w:rPr>
        <w:t>provádět opakované instruktáže zdravotnických pracovníků ohledně Přístrojů ve frekvenci vyplývající z právních předpisů, technický norem a dobré praxe</w:t>
      </w:r>
      <w:r w:rsidRPr="00FB45E7">
        <w:rPr>
          <w:rFonts w:ascii="Times New Roman" w:hAnsi="Times New Roman"/>
          <w:sz w:val="22"/>
          <w:szCs w:val="22"/>
        </w:rPr>
        <w:t>.</w:t>
      </w:r>
    </w:p>
    <w:p w14:paraId="33708914" w14:textId="0AD2704B"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 xml:space="preserve">Zhotovitel se zavazuje v rámci záruky určit a sledovat </w:t>
      </w:r>
      <w:bookmarkStart w:id="3" w:name="_GoBack"/>
      <w:r w:rsidRPr="00FB45E7">
        <w:rPr>
          <w:rFonts w:ascii="Times New Roman" w:hAnsi="Times New Roman"/>
          <w:sz w:val="22"/>
          <w:szCs w:val="22"/>
          <w:lang w:eastAsia="x-none"/>
        </w:rPr>
        <w:t xml:space="preserve">termíny </w:t>
      </w:r>
      <w:r w:rsidR="001221E1">
        <w:rPr>
          <w:rFonts w:ascii="Times New Roman" w:hAnsi="Times New Roman"/>
          <w:sz w:val="22"/>
          <w:szCs w:val="22"/>
          <w:lang w:eastAsia="x-none"/>
        </w:rPr>
        <w:t>b</w:t>
      </w:r>
      <w:bookmarkEnd w:id="3"/>
      <w:r w:rsidR="001221E1">
        <w:rPr>
          <w:rFonts w:ascii="Times New Roman" w:hAnsi="Times New Roman"/>
          <w:sz w:val="22"/>
          <w:szCs w:val="22"/>
          <w:lang w:eastAsia="x-none"/>
        </w:rPr>
        <w:t xml:space="preserve">ezpečnostně technických kontrol a dalších kontrol, zkoušek a revizí </w:t>
      </w:r>
      <w:r w:rsidRPr="00FB45E7">
        <w:rPr>
          <w:rFonts w:ascii="Times New Roman" w:hAnsi="Times New Roman"/>
          <w:sz w:val="22"/>
          <w:szCs w:val="22"/>
          <w:lang w:eastAsia="x-none"/>
        </w:rPr>
        <w:t>podle platných právních předpisů a podle pokynů výrobce. Protokoly o výše uvedených prohlídkách předává Zhotovitel neprodleně pracovníkovi OOKC.</w:t>
      </w:r>
    </w:p>
    <w:p w14:paraId="7F479902" w14:textId="77777777"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Kontaktní osobou pro přímou komunikaci se servisním technikem Objednatele je technik zdravotnického pracoviště a OOKC, ze strany Zhotovitele bude umožněna i telefonická konzultace pověřenými pracovníky zdravotnického pracoviště a OOKC.</w:t>
      </w:r>
    </w:p>
    <w:p w14:paraId="78C5CC45" w14:textId="77777777"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 xml:space="preserve">Zhotovitel prohlašuje, že v případě zájmu Objednatele je schopen zajistit Objednateli pozáruční servis včetně dodání náhradních dílů po dobu minimálně 10 let od </w:t>
      </w:r>
      <w:r w:rsidRPr="00FB45E7">
        <w:rPr>
          <w:rFonts w:ascii="Times New Roman" w:hAnsi="Times New Roman"/>
          <w:sz w:val="22"/>
          <w:szCs w:val="22"/>
          <w:lang w:eastAsia="en-US"/>
        </w:rPr>
        <w:t>ukončení doby záruky</w:t>
      </w:r>
      <w:r w:rsidRPr="00FB45E7">
        <w:rPr>
          <w:rFonts w:ascii="Times New Roman" w:hAnsi="Times New Roman"/>
          <w:sz w:val="22"/>
          <w:szCs w:val="22"/>
          <w:lang w:eastAsia="x-none"/>
        </w:rPr>
        <w:t>.</w:t>
      </w:r>
    </w:p>
    <w:p w14:paraId="573A7EA8" w14:textId="77777777" w:rsidR="00610F32" w:rsidRPr="00FB45E7" w:rsidRDefault="00610F32" w:rsidP="00610F32">
      <w:pPr>
        <w:pStyle w:val="RLTextlnkuslovan"/>
        <w:numPr>
          <w:ilvl w:val="0"/>
          <w:numId w:val="1"/>
        </w:numPr>
        <w:tabs>
          <w:tab w:val="num" w:pos="567"/>
          <w:tab w:val="num" w:pos="1474"/>
        </w:tabs>
        <w:spacing w:after="160" w:line="276" w:lineRule="auto"/>
        <w:ind w:left="567" w:hanging="567"/>
        <w:rPr>
          <w:rFonts w:ascii="Times New Roman" w:hAnsi="Times New Roman"/>
          <w:sz w:val="22"/>
          <w:szCs w:val="22"/>
          <w:lang w:eastAsia="x-none"/>
        </w:rPr>
      </w:pPr>
      <w:r w:rsidRPr="00FB45E7">
        <w:rPr>
          <w:rFonts w:ascii="Times New Roman" w:hAnsi="Times New Roman"/>
          <w:sz w:val="22"/>
          <w:szCs w:val="22"/>
          <w:lang w:eastAsia="x-none"/>
        </w:rPr>
        <w:t>Zhotovitel se zavazuje, že všichni jeho poddodavatelé přístrojového vybavení/lékařské technologie (tj. Přístrojů) dodrží veškeré povinnosti vyplývající z právních předpisů týkajících se oprávnění k podnikání v dané oblasti.</w:t>
      </w:r>
    </w:p>
    <w:p w14:paraId="7A19DC27" w14:textId="77777777" w:rsidR="00AF0A7F" w:rsidRDefault="00AF0A7F"/>
    <w:sectPr w:rsidR="00AF0A7F" w:rsidSect="00727B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C3EC0"/>
    <w:multiLevelType w:val="hybridMultilevel"/>
    <w:tmpl w:val="1FD8028C"/>
    <w:lvl w:ilvl="0" w:tplc="ED044882">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5A22072C"/>
    <w:multiLevelType w:val="hybridMultilevel"/>
    <w:tmpl w:val="37B0D022"/>
    <w:lvl w:ilvl="0" w:tplc="7D8E0CA4">
      <w:start w:val="1"/>
      <w:numFmt w:val="decimal"/>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visionView w:markup="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F32"/>
    <w:rsid w:val="001221E1"/>
    <w:rsid w:val="00610F32"/>
    <w:rsid w:val="008E0BAB"/>
    <w:rsid w:val="00AF0A7F"/>
    <w:rsid w:val="00C04A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A54C5"/>
  <w15:chartTrackingRefBased/>
  <w15:docId w15:val="{9A5415C8-1188-440C-994E-89D2416D1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0F32"/>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610F32"/>
    <w:pPr>
      <w:spacing w:after="120" w:line="280" w:lineRule="exact"/>
      <w:jc w:val="both"/>
    </w:pPr>
    <w:rPr>
      <w:rFonts w:ascii="Garamond" w:eastAsia="Times New Roman" w:hAnsi="Garamond" w:cs="Times New Roman"/>
      <w:sz w:val="24"/>
      <w:szCs w:val="24"/>
      <w:lang w:eastAsia="cs-CZ"/>
    </w:rPr>
  </w:style>
  <w:style w:type="character" w:customStyle="1" w:styleId="RLTextlnkuslovanChar">
    <w:name w:val="RL Text článku číslovaný Char"/>
    <w:link w:val="RLTextlnkuslovan"/>
    <w:locked/>
    <w:rsid w:val="00610F32"/>
    <w:rPr>
      <w:rFonts w:ascii="Garamond" w:eastAsia="Times New Roman" w:hAnsi="Garamond" w:cs="Times New Roman"/>
      <w:sz w:val="24"/>
      <w:szCs w:val="24"/>
      <w:lang w:eastAsia="cs-CZ"/>
    </w:rPr>
  </w:style>
  <w:style w:type="character" w:styleId="Odkaznakoment">
    <w:name w:val="annotation reference"/>
    <w:basedOn w:val="Standardnpsmoodstavce"/>
    <w:uiPriority w:val="99"/>
    <w:semiHidden/>
    <w:unhideWhenUsed/>
    <w:rsid w:val="00C04ADE"/>
    <w:rPr>
      <w:sz w:val="16"/>
      <w:szCs w:val="16"/>
    </w:rPr>
  </w:style>
  <w:style w:type="paragraph" w:styleId="Textkomente">
    <w:name w:val="annotation text"/>
    <w:basedOn w:val="Normln"/>
    <w:link w:val="TextkomenteChar"/>
    <w:uiPriority w:val="99"/>
    <w:semiHidden/>
    <w:unhideWhenUsed/>
    <w:rsid w:val="00C04ADE"/>
    <w:pPr>
      <w:spacing w:line="240" w:lineRule="auto"/>
    </w:pPr>
    <w:rPr>
      <w:sz w:val="20"/>
      <w:szCs w:val="20"/>
    </w:rPr>
  </w:style>
  <w:style w:type="character" w:customStyle="1" w:styleId="TextkomenteChar">
    <w:name w:val="Text komentáře Char"/>
    <w:basedOn w:val="Standardnpsmoodstavce"/>
    <w:link w:val="Textkomente"/>
    <w:uiPriority w:val="99"/>
    <w:semiHidden/>
    <w:rsid w:val="00C04ADE"/>
    <w:rPr>
      <w:sz w:val="20"/>
      <w:szCs w:val="20"/>
    </w:rPr>
  </w:style>
  <w:style w:type="paragraph" w:styleId="Pedmtkomente">
    <w:name w:val="annotation subject"/>
    <w:basedOn w:val="Textkomente"/>
    <w:next w:val="Textkomente"/>
    <w:link w:val="PedmtkomenteChar"/>
    <w:uiPriority w:val="99"/>
    <w:semiHidden/>
    <w:unhideWhenUsed/>
    <w:rsid w:val="00C04ADE"/>
    <w:rPr>
      <w:b/>
      <w:bCs/>
    </w:rPr>
  </w:style>
  <w:style w:type="character" w:customStyle="1" w:styleId="PedmtkomenteChar">
    <w:name w:val="Předmět komentáře Char"/>
    <w:basedOn w:val="TextkomenteChar"/>
    <w:link w:val="Pedmtkomente"/>
    <w:uiPriority w:val="99"/>
    <w:semiHidden/>
    <w:rsid w:val="00C04ADE"/>
    <w:rPr>
      <w:b/>
      <w:bCs/>
      <w:sz w:val="20"/>
      <w:szCs w:val="20"/>
    </w:rPr>
  </w:style>
  <w:style w:type="paragraph" w:styleId="Textbubliny">
    <w:name w:val="Balloon Text"/>
    <w:basedOn w:val="Normln"/>
    <w:link w:val="TextbublinyChar"/>
    <w:uiPriority w:val="99"/>
    <w:semiHidden/>
    <w:unhideWhenUsed/>
    <w:rsid w:val="00C04AD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04A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1237</Words>
  <Characters>7305</Characters>
  <Application>Microsoft Office Word</Application>
  <DocSecurity>4</DocSecurity>
  <Lines>60</Lines>
  <Paragraphs>17</Paragraphs>
  <ScaleCrop>false</ScaleCrop>
  <HeadingPairs>
    <vt:vector size="2" baseType="variant">
      <vt:variant>
        <vt:lpstr>Název</vt:lpstr>
      </vt:variant>
      <vt:variant>
        <vt:i4>1</vt:i4>
      </vt:variant>
    </vt:vector>
  </HeadingPairs>
  <TitlesOfParts>
    <vt:vector size="1" baseType="lpstr">
      <vt:lpstr/>
    </vt:vector>
  </TitlesOfParts>
  <Company>Krajska Zdravotni a.s.</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Marie</dc:creator>
  <cp:keywords/>
  <dc:description/>
  <cp:lastModifiedBy>Němcová Marie</cp:lastModifiedBy>
  <cp:revision>2</cp:revision>
  <dcterms:created xsi:type="dcterms:W3CDTF">2022-02-25T11:49:00Z</dcterms:created>
  <dcterms:modified xsi:type="dcterms:W3CDTF">2022-02-25T11:49:00Z</dcterms:modified>
</cp:coreProperties>
</file>