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0E012F15" w14:textId="77777777" w:rsidR="009011AB" w:rsidRPr="009011AB" w:rsidRDefault="0046213B" w:rsidP="009011AB">
      <w:pPr>
        <w:ind w:left="3686" w:hanging="3686"/>
        <w:rPr>
          <w:rFonts w:ascii="Times New Roman" w:eastAsia="Calibri" w:hAnsi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91353A">
        <w:rPr>
          <w:rFonts w:ascii="Times New Roman" w:eastAsia="Calibri" w:hAnsi="Times New Roman"/>
          <w:b/>
          <w:caps/>
          <w:sz w:val="24"/>
          <w:u w:val="single"/>
        </w:rPr>
        <w:t xml:space="preserve"> MALÉHO ROZSAHU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AB017A">
        <w:rPr>
          <w:rFonts w:ascii="Times New Roman" w:eastAsia="Calibri" w:hAnsi="Times New Roman"/>
          <w:b/>
          <w:caps/>
          <w:sz w:val="28"/>
          <w:szCs w:val="28"/>
        </w:rPr>
        <w:t xml:space="preserve">  </w:t>
      </w:r>
      <w:r w:rsidR="009011AB" w:rsidRPr="009011AB">
        <w:rPr>
          <w:rFonts w:ascii="Times New Roman" w:eastAsia="Calibri" w:hAnsi="Times New Roman"/>
          <w:b/>
          <w:bCs/>
          <w:caps/>
          <w:sz w:val="28"/>
          <w:szCs w:val="28"/>
        </w:rPr>
        <w:t>Transportní lůžko pro Gynekologicko-porodnické oddělení Nemocnice Děčín, o. z.</w:t>
      </w:r>
    </w:p>
    <w:p w14:paraId="18FC4DBE" w14:textId="5AE493A6" w:rsidR="00F62CF6" w:rsidRDefault="00F62CF6" w:rsidP="009011AB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bookmarkStart w:id="0" w:name="_GoBack"/>
      <w:bookmarkEnd w:id="0"/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30B75B58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</w:t>
      </w:r>
      <w:r w:rsidR="0054403F">
        <w:rPr>
          <w:rFonts w:ascii="Times New Roman" w:eastAsia="Calibri" w:hAnsi="Times New Roman"/>
          <w:b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7D1BE5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7D1BE5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60AEF3FE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>Ve vztahu k základní způsobilosti</w:t>
      </w:r>
      <w:r w:rsidR="0054403F">
        <w:rPr>
          <w:rFonts w:ascii="Times New Roman" w:eastAsia="Calibri" w:hAnsi="Times New Roman"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sz w:val="22"/>
          <w:szCs w:val="22"/>
        </w:rPr>
        <w:t xml:space="preserve">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32F187EB" w14:textId="1EF8A61D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="0054403F">
        <w:rPr>
          <w:rFonts w:ascii="Times New Roman" w:eastAsia="Calibri" w:hAnsi="Times New Roman"/>
          <w:sz w:val="22"/>
          <w:szCs w:val="22"/>
        </w:rPr>
        <w:t xml:space="preserve">analogicky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B941D3" w14:textId="04917F26" w:rsidR="00F62CF6" w:rsidRPr="00AB017A" w:rsidRDefault="00F62CF6" w:rsidP="00AB017A">
      <w:pPr>
        <w:tabs>
          <w:tab w:val="left" w:pos="567"/>
        </w:tabs>
        <w:spacing w:after="120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27B8D21F" w14:textId="7BC4A676" w:rsidR="007D1B14" w:rsidRDefault="00FD5A71" w:rsidP="00AB017A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0B5EA4" w14:textId="3ECE570A" w:rsidR="007D1B14" w:rsidRDefault="007D1B14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</w:p>
    <w:p w14:paraId="0CEE0064" w14:textId="6FF49304" w:rsidR="00BF6C78" w:rsidRDefault="00BF6C78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</w:p>
    <w:p w14:paraId="14B8FA84" w14:textId="77777777" w:rsidR="00BF6C78" w:rsidRDefault="00BF6C78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AB017A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9541" w14:textId="77777777" w:rsidR="00011B79" w:rsidRDefault="00011B79">
      <w:r>
        <w:separator/>
      </w:r>
    </w:p>
  </w:endnote>
  <w:endnote w:type="continuationSeparator" w:id="0">
    <w:p w14:paraId="279C09BF" w14:textId="77777777" w:rsidR="00011B79" w:rsidRDefault="0001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506C5E07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9011A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9011A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3C8E" w14:textId="77777777" w:rsidR="00011B79" w:rsidRDefault="00011B79">
      <w:r>
        <w:separator/>
      </w:r>
    </w:p>
  </w:footnote>
  <w:footnote w:type="continuationSeparator" w:id="0">
    <w:p w14:paraId="392DDFD3" w14:textId="77777777" w:rsidR="00011B79" w:rsidRDefault="0001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1B79"/>
    <w:rsid w:val="00012711"/>
    <w:rsid w:val="00046748"/>
    <w:rsid w:val="000531A8"/>
    <w:rsid w:val="000808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9554C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91345"/>
    <w:rsid w:val="004C2749"/>
    <w:rsid w:val="004D3CF1"/>
    <w:rsid w:val="004D5609"/>
    <w:rsid w:val="004D663E"/>
    <w:rsid w:val="00513EA2"/>
    <w:rsid w:val="00526602"/>
    <w:rsid w:val="0054403F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6F7F7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1BE5"/>
    <w:rsid w:val="007D36A3"/>
    <w:rsid w:val="007F43A1"/>
    <w:rsid w:val="00827DAE"/>
    <w:rsid w:val="008308D1"/>
    <w:rsid w:val="00852A68"/>
    <w:rsid w:val="008534FA"/>
    <w:rsid w:val="008B0D00"/>
    <w:rsid w:val="008B5B6F"/>
    <w:rsid w:val="008C5BCE"/>
    <w:rsid w:val="008E3050"/>
    <w:rsid w:val="009011AB"/>
    <w:rsid w:val="0091353A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017A"/>
    <w:rsid w:val="00AB1A0A"/>
    <w:rsid w:val="00AB217F"/>
    <w:rsid w:val="00AB6878"/>
    <w:rsid w:val="00AC5C5E"/>
    <w:rsid w:val="00AD2664"/>
    <w:rsid w:val="00AF39F6"/>
    <w:rsid w:val="00B07C18"/>
    <w:rsid w:val="00B132F5"/>
    <w:rsid w:val="00B32DD2"/>
    <w:rsid w:val="00B43879"/>
    <w:rsid w:val="00B71BAB"/>
    <w:rsid w:val="00BC7372"/>
    <w:rsid w:val="00BD4FDD"/>
    <w:rsid w:val="00BE59F7"/>
    <w:rsid w:val="00BF6C78"/>
    <w:rsid w:val="00C0688C"/>
    <w:rsid w:val="00C13861"/>
    <w:rsid w:val="00C158D6"/>
    <w:rsid w:val="00C26186"/>
    <w:rsid w:val="00C35BCE"/>
    <w:rsid w:val="00C43731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C7B2F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01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901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E5B3-BA17-4D31-ACC9-CF01CD28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15</cp:revision>
  <cp:lastPrinted>2019-10-17T08:01:00Z</cp:lastPrinted>
  <dcterms:created xsi:type="dcterms:W3CDTF">2019-12-17T11:33:00Z</dcterms:created>
  <dcterms:modified xsi:type="dcterms:W3CDTF">2021-03-29T07:34:00Z</dcterms:modified>
</cp:coreProperties>
</file>