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71F4" w14:textId="77777777" w:rsidR="00703D49" w:rsidRDefault="00703D49" w:rsidP="005F6B5C">
      <w:pPr>
        <w:pStyle w:val="Nadpis1"/>
        <w:jc w:val="center"/>
      </w:pPr>
    </w:p>
    <w:p w14:paraId="7AD3CAC1" w14:textId="77777777" w:rsidR="00703D49" w:rsidRDefault="00703D49" w:rsidP="00703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E9141" w14:textId="65048E4B" w:rsidR="00703D49" w:rsidRPr="00703D49" w:rsidRDefault="00703D49" w:rsidP="0070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49">
        <w:rPr>
          <w:rFonts w:ascii="Times New Roman" w:hAnsi="Times New Roman" w:cs="Times New Roman"/>
          <w:b/>
          <w:sz w:val="28"/>
          <w:szCs w:val="28"/>
        </w:rPr>
        <w:t xml:space="preserve">Technická specifikace – </w:t>
      </w:r>
    </w:p>
    <w:p w14:paraId="70C727D4" w14:textId="77777777" w:rsidR="00703D49" w:rsidRPr="00703D49" w:rsidRDefault="00703D49" w:rsidP="00703D49">
      <w:pPr>
        <w:pStyle w:val="Nadpis1"/>
        <w:jc w:val="center"/>
        <w:rPr>
          <w:rFonts w:cs="Times New Roman"/>
          <w:sz w:val="28"/>
          <w:szCs w:val="28"/>
        </w:rPr>
      </w:pPr>
      <w:r w:rsidRPr="00703D49">
        <w:rPr>
          <w:rFonts w:cs="Times New Roman"/>
          <w:sz w:val="28"/>
          <w:szCs w:val="28"/>
        </w:rPr>
        <w:t>Zvýšení kvality návazné péče Krajské zdravotní, a.s. –</w:t>
      </w:r>
    </w:p>
    <w:p w14:paraId="255490CF" w14:textId="01B5532B" w:rsidR="00656C78" w:rsidRPr="00703D49" w:rsidRDefault="00051F0E" w:rsidP="005F6B5C">
      <w:pPr>
        <w:pStyle w:val="Nadpis1"/>
        <w:jc w:val="center"/>
        <w:rPr>
          <w:sz w:val="28"/>
          <w:szCs w:val="28"/>
        </w:rPr>
      </w:pPr>
      <w:r w:rsidRPr="00703D49">
        <w:rPr>
          <w:sz w:val="28"/>
          <w:szCs w:val="28"/>
        </w:rPr>
        <w:t>Diagnostická pracovní stanice</w:t>
      </w:r>
    </w:p>
    <w:p w14:paraId="38442CB7" w14:textId="77777777" w:rsidR="005F6B5C" w:rsidRDefault="005F6B5C" w:rsidP="005F6B5C">
      <w:pPr>
        <w:pStyle w:val="Bezmezer"/>
      </w:pPr>
    </w:p>
    <w:p w14:paraId="690EA4F0" w14:textId="77777777" w:rsidR="00703D49" w:rsidRDefault="00703D49" w:rsidP="00703D49">
      <w:pPr>
        <w:pStyle w:val="Bezmezer"/>
        <w:ind w:firstLine="0"/>
        <w:jc w:val="both"/>
      </w:pPr>
    </w:p>
    <w:p w14:paraId="2A744851" w14:textId="24443E16" w:rsidR="00EC704F" w:rsidRDefault="00051F0E" w:rsidP="00703D49">
      <w:pPr>
        <w:pStyle w:val="Bezmezer"/>
        <w:ind w:firstLine="0"/>
        <w:jc w:val="both"/>
      </w:pPr>
      <w:proofErr w:type="spellStart"/>
      <w:r>
        <w:t>Multimodalitní</w:t>
      </w:r>
      <w:proofErr w:type="spellEnd"/>
      <w:r>
        <w:t xml:space="preserve"> diagnostická pracovní stanice</w:t>
      </w:r>
      <w:r w:rsidR="00F1238A">
        <w:t xml:space="preserve"> pro </w:t>
      </w:r>
      <w:r>
        <w:t>Radiodiagnostické</w:t>
      </w:r>
      <w:r w:rsidR="00F1238A">
        <w:t xml:space="preserve"> oddělení Nemocnice </w:t>
      </w:r>
      <w:r>
        <w:t>Chomutov</w:t>
      </w:r>
      <w:r w:rsidR="00F1238A">
        <w:t xml:space="preserve">, </w:t>
      </w:r>
      <w:r w:rsidR="00EC704F">
        <w:t>Krajská zdravotní, a. s.</w:t>
      </w:r>
      <w:r>
        <w:t xml:space="preserve"> Diagnostická stanice slouží ke zpracování a vyhodnocení snímků ze skiagrafie, skiaskopie, magnetické rezonance a </w:t>
      </w:r>
      <w:r w:rsidR="001463DF">
        <w:t>počítačovou tomografii (CT)</w:t>
      </w:r>
      <w:r>
        <w:t>.</w:t>
      </w:r>
    </w:p>
    <w:p w14:paraId="0530D0E2" w14:textId="77777777" w:rsidR="008E33A1" w:rsidRDefault="008E33A1" w:rsidP="008E33A1">
      <w:pPr>
        <w:pStyle w:val="Bezmezer"/>
        <w:ind w:firstLine="0"/>
        <w:jc w:val="both"/>
      </w:pPr>
    </w:p>
    <w:p w14:paraId="3CCA18A9" w14:textId="77777777" w:rsidR="008E33A1" w:rsidRDefault="008E33A1" w:rsidP="008E33A1">
      <w:pPr>
        <w:pStyle w:val="Nadpis2"/>
      </w:pPr>
      <w:r>
        <w:t>Obecné požadavky:</w:t>
      </w:r>
    </w:p>
    <w:p w14:paraId="3020EBD4" w14:textId="77777777" w:rsidR="008E33A1" w:rsidRDefault="008E33A1" w:rsidP="008E33A1">
      <w:pPr>
        <w:pStyle w:val="Bezmezer"/>
        <w:numPr>
          <w:ilvl w:val="0"/>
          <w:numId w:val="12"/>
        </w:numPr>
        <w:ind w:left="709"/>
      </w:pPr>
      <w:r>
        <w:t xml:space="preserve">2 ks </w:t>
      </w:r>
      <w:proofErr w:type="spellStart"/>
      <w:r>
        <w:t>multimodalitní</w:t>
      </w:r>
      <w:proofErr w:type="spellEnd"/>
      <w:r>
        <w:t xml:space="preserve"> diagnostické pracovní stanice skládající se z:</w:t>
      </w:r>
    </w:p>
    <w:p w14:paraId="7A03F516" w14:textId="77777777" w:rsidR="008E33A1" w:rsidRDefault="008E33A1" w:rsidP="008E33A1">
      <w:pPr>
        <w:pStyle w:val="Bezmezer"/>
        <w:numPr>
          <w:ilvl w:val="1"/>
          <w:numId w:val="12"/>
        </w:numPr>
      </w:pPr>
      <w:r>
        <w:t xml:space="preserve">1 ks   řídicí pracovní stanice </w:t>
      </w:r>
    </w:p>
    <w:p w14:paraId="04DE3B5E" w14:textId="77777777" w:rsidR="008E33A1" w:rsidRDefault="008E33A1" w:rsidP="008E33A1">
      <w:pPr>
        <w:pStyle w:val="Bezmezer"/>
        <w:numPr>
          <w:ilvl w:val="1"/>
          <w:numId w:val="12"/>
        </w:numPr>
        <w:jc w:val="both"/>
      </w:pPr>
      <w:r>
        <w:t>1 ks   záložní zdroj napájení</w:t>
      </w:r>
    </w:p>
    <w:p w14:paraId="5C9827B0" w14:textId="77777777" w:rsidR="008E33A1" w:rsidRDefault="008E33A1" w:rsidP="008E33A1">
      <w:pPr>
        <w:pStyle w:val="Bezmezer"/>
        <w:numPr>
          <w:ilvl w:val="1"/>
          <w:numId w:val="12"/>
        </w:numPr>
        <w:jc w:val="both"/>
      </w:pPr>
      <w:r>
        <w:t>2 ks   diagnostický monitor</w:t>
      </w:r>
    </w:p>
    <w:p w14:paraId="54378106" w14:textId="77777777" w:rsidR="008E33A1" w:rsidRDefault="008E33A1" w:rsidP="008E33A1">
      <w:pPr>
        <w:pStyle w:val="Bezmezer"/>
        <w:numPr>
          <w:ilvl w:val="1"/>
          <w:numId w:val="12"/>
        </w:numPr>
        <w:jc w:val="both"/>
      </w:pPr>
      <w:r>
        <w:t>1 ks   pracovní monitor</w:t>
      </w:r>
    </w:p>
    <w:p w14:paraId="705DA735" w14:textId="77777777" w:rsidR="008E33A1" w:rsidRDefault="008E33A1" w:rsidP="008E33A1">
      <w:pPr>
        <w:pStyle w:val="Bezmezer"/>
        <w:numPr>
          <w:ilvl w:val="1"/>
          <w:numId w:val="12"/>
        </w:numPr>
        <w:jc w:val="both"/>
      </w:pPr>
      <w:r>
        <w:t>1 ks   speciální medicínská grafická karta do PC</w:t>
      </w:r>
    </w:p>
    <w:p w14:paraId="53E488E6" w14:textId="77777777" w:rsidR="008E33A1" w:rsidRDefault="008E33A1" w:rsidP="008E33A1">
      <w:pPr>
        <w:pStyle w:val="Bezmezer"/>
        <w:numPr>
          <w:ilvl w:val="0"/>
          <w:numId w:val="13"/>
        </w:numPr>
        <w:jc w:val="both"/>
      </w:pPr>
      <w:r>
        <w:t>Diagnostická pracovní stanice musí splňovat veškeré náležitosti dle zákona č. 268/2014 Sb. o zdravotnických prostředcích ve znění pozdějších předpisů</w:t>
      </w:r>
    </w:p>
    <w:p w14:paraId="0164C815" w14:textId="77777777" w:rsidR="008E33A1" w:rsidRDefault="008E33A1" w:rsidP="008E33A1">
      <w:pPr>
        <w:pStyle w:val="Bezmezer"/>
        <w:numPr>
          <w:ilvl w:val="0"/>
          <w:numId w:val="13"/>
        </w:numPr>
        <w:jc w:val="both"/>
      </w:pPr>
      <w:r>
        <w:t>Diagnostická pracovní stanice musí být kompatibilní se stávajícími systémy zobrazovacích metod na RDG oddělení Nemocnice Chomutov</w:t>
      </w:r>
    </w:p>
    <w:p w14:paraId="125C9005" w14:textId="77777777" w:rsidR="008E33A1" w:rsidRDefault="008E33A1" w:rsidP="008E33A1">
      <w:pPr>
        <w:pStyle w:val="Bezmezer"/>
        <w:numPr>
          <w:ilvl w:val="0"/>
          <w:numId w:val="13"/>
        </w:numPr>
        <w:jc w:val="both"/>
      </w:pPr>
      <w:r>
        <w:t>Zařízení bude instalováno do domény Krajské zdravotní a. s., budou na něj aplikována všechna pravidla a restrikce z členství v doméně vyplývající.</w:t>
      </w:r>
    </w:p>
    <w:p w14:paraId="040DC0C0" w14:textId="77777777" w:rsidR="008E33A1" w:rsidRDefault="008E33A1" w:rsidP="008E33A1">
      <w:pPr>
        <w:pStyle w:val="Bezmezer"/>
        <w:numPr>
          <w:ilvl w:val="0"/>
          <w:numId w:val="13"/>
        </w:numPr>
        <w:jc w:val="both"/>
      </w:pPr>
      <w:r>
        <w:t>Na zařízení bude možno nainstalovat antivirový software aktuálně používaný v Krajské zdravotní a.s. (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Windows)</w:t>
      </w:r>
    </w:p>
    <w:p w14:paraId="1EA835D2" w14:textId="77777777" w:rsidR="008E33A1" w:rsidRDefault="008E33A1" w:rsidP="008E33A1">
      <w:pPr>
        <w:pStyle w:val="Bezmezer"/>
        <w:ind w:firstLine="0"/>
      </w:pPr>
    </w:p>
    <w:p w14:paraId="36256DA1" w14:textId="77777777" w:rsidR="008E33A1" w:rsidRDefault="008E33A1" w:rsidP="008E33A1">
      <w:pPr>
        <w:pStyle w:val="Nadpis2"/>
      </w:pPr>
      <w:r>
        <w:t>Minimální technické požadavky:</w:t>
      </w:r>
    </w:p>
    <w:p w14:paraId="54EB7B63" w14:textId="77777777" w:rsidR="008E33A1" w:rsidRDefault="008E33A1" w:rsidP="008E33A1">
      <w:pPr>
        <w:pStyle w:val="Bezmezer"/>
        <w:ind w:firstLine="0"/>
        <w:rPr>
          <w:b/>
          <w:u w:val="single"/>
        </w:rPr>
      </w:pPr>
      <w:r>
        <w:rPr>
          <w:b/>
          <w:u w:val="single"/>
        </w:rPr>
        <w:t>Pracovní stanice</w:t>
      </w:r>
      <w:r>
        <w:rPr>
          <w:b/>
          <w:u w:val="single"/>
        </w:rPr>
        <w:tab/>
        <w:t>1 ks</w:t>
      </w:r>
    </w:p>
    <w:p w14:paraId="68E96878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t>Pracovní stanice s odpovídajícím výkonem pro níže popsanou konfiguraci monitorů a grafické karty</w:t>
      </w:r>
    </w:p>
    <w:p w14:paraId="5D59A5D3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Procesor:</w:t>
      </w:r>
      <w:r>
        <w:t xml:space="preserve"> minimálně </w:t>
      </w:r>
      <w:proofErr w:type="gramStart"/>
      <w:r>
        <w:t>6ti</w:t>
      </w:r>
      <w:proofErr w:type="gramEnd"/>
      <w:r>
        <w:t xml:space="preserve"> jádrový, podpora 64 bit, CPU </w:t>
      </w:r>
      <w:proofErr w:type="spellStart"/>
      <w:r>
        <w:t>benchmark</w:t>
      </w:r>
      <w:proofErr w:type="spellEnd"/>
      <w:r>
        <w:t xml:space="preserve"> minimálně 15 000 bodů dle www.cpubenchmark.net</w:t>
      </w:r>
    </w:p>
    <w:p w14:paraId="533B6E83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proofErr w:type="spellStart"/>
      <w:r>
        <w:rPr>
          <w:u w:val="single"/>
        </w:rPr>
        <w:t>Chipset</w:t>
      </w:r>
      <w:proofErr w:type="spellEnd"/>
      <w:r>
        <w:rPr>
          <w:u w:val="single"/>
        </w:rPr>
        <w:t>:</w:t>
      </w:r>
      <w:r>
        <w:t xml:space="preserve"> korporátní verze </w:t>
      </w:r>
      <w:proofErr w:type="spellStart"/>
      <w:r>
        <w:t>chipsetu</w:t>
      </w:r>
      <w:proofErr w:type="spellEnd"/>
      <w:r>
        <w:t xml:space="preserve"> odpovídající nabízenému CPU, podpora USB 3.0</w:t>
      </w:r>
    </w:p>
    <w:p w14:paraId="2A0B6FC8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Operační paměť:</w:t>
      </w:r>
      <w:r>
        <w:t xml:space="preserve"> minimálně 2x </w:t>
      </w:r>
      <w:proofErr w:type="gramStart"/>
      <w:r>
        <w:t>8GB</w:t>
      </w:r>
      <w:proofErr w:type="gramEnd"/>
      <w:r>
        <w:t xml:space="preserve"> moduly, dále minimálně 2 sloty volné pro další rozšíření na 32 GB</w:t>
      </w:r>
    </w:p>
    <w:p w14:paraId="13CC1D7B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Pevný disk:</w:t>
      </w:r>
      <w:r>
        <w:t xml:space="preserve"> minimálně </w:t>
      </w:r>
      <w:proofErr w:type="gramStart"/>
      <w:r>
        <w:t>128GB</w:t>
      </w:r>
      <w:proofErr w:type="gramEnd"/>
      <w:r>
        <w:t xml:space="preserve"> SSD 2.5 </w:t>
      </w:r>
      <w:proofErr w:type="spellStart"/>
      <w:r>
        <w:t>inch</w:t>
      </w:r>
      <w:proofErr w:type="spellEnd"/>
      <w:r>
        <w:t xml:space="preserve"> SATA</w:t>
      </w:r>
    </w:p>
    <w:p w14:paraId="1893B8A6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Optická mechanika:</w:t>
      </w:r>
      <w:r>
        <w:t xml:space="preserve"> interní, čtení a vypalování CD/DVD, </w:t>
      </w:r>
      <w:proofErr w:type="gramStart"/>
      <w:r>
        <w:t>podpora -R</w:t>
      </w:r>
      <w:proofErr w:type="gramEnd"/>
      <w:r>
        <w:t>/RW/+R/RW, SL/DL</w:t>
      </w:r>
    </w:p>
    <w:p w14:paraId="761F7E49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Interní sloty:</w:t>
      </w:r>
      <w:r>
        <w:t xml:space="preserve"> minimálně 1x </w:t>
      </w:r>
      <w:proofErr w:type="spellStart"/>
      <w:r>
        <w:t>PCIe</w:t>
      </w:r>
      <w:proofErr w:type="spellEnd"/>
      <w:r>
        <w:t xml:space="preserve"> x16, 1x </w:t>
      </w:r>
      <w:proofErr w:type="spellStart"/>
      <w:r>
        <w:t>PCIe</w:t>
      </w:r>
      <w:proofErr w:type="spellEnd"/>
      <w:r>
        <w:t xml:space="preserve"> x4 (konektor x4), 1x </w:t>
      </w:r>
      <w:proofErr w:type="spellStart"/>
      <w:r>
        <w:t>PCIe</w:t>
      </w:r>
      <w:proofErr w:type="spellEnd"/>
      <w:r>
        <w:t xml:space="preserve"> x4 (konektor x16)</w:t>
      </w:r>
    </w:p>
    <w:p w14:paraId="313CA963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Síťová karta:</w:t>
      </w:r>
      <w:r>
        <w:t xml:space="preserve"> 10/100/1000 Mbps, podpora </w:t>
      </w:r>
      <w:proofErr w:type="spellStart"/>
      <w:r>
        <w:t>WoL</w:t>
      </w:r>
      <w:proofErr w:type="spellEnd"/>
      <w:r>
        <w:t>, PXE, konektor RJ-45</w:t>
      </w:r>
    </w:p>
    <w:p w14:paraId="7F3AFFF8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Zvuková karta:</w:t>
      </w:r>
      <w:r>
        <w:t xml:space="preserve"> minimálně výstupy in a </w:t>
      </w:r>
      <w:proofErr w:type="spellStart"/>
      <w:r>
        <w:t>out</w:t>
      </w:r>
      <w:proofErr w:type="spellEnd"/>
      <w:r>
        <w:t xml:space="preserve"> vzadu</w:t>
      </w:r>
    </w:p>
    <w:p w14:paraId="157AD877" w14:textId="77A70F40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USB 2.0 porty:</w:t>
      </w:r>
      <w:r>
        <w:t xml:space="preserve"> minimálně 4x, minimálně 2 vpředu</w:t>
      </w:r>
    </w:p>
    <w:p w14:paraId="5F010295" w14:textId="44CD038B" w:rsidR="008E33A1" w:rsidRDefault="008E33A1" w:rsidP="008E33A1">
      <w:pPr>
        <w:pStyle w:val="Bezmezer"/>
        <w:ind w:left="720" w:firstLine="0"/>
        <w:jc w:val="both"/>
        <w:rPr>
          <w:u w:val="single"/>
        </w:rPr>
      </w:pPr>
    </w:p>
    <w:p w14:paraId="080DB72D" w14:textId="1138FE5C" w:rsidR="008E33A1" w:rsidRDefault="008E33A1" w:rsidP="008E33A1">
      <w:pPr>
        <w:pStyle w:val="Bezmezer"/>
        <w:ind w:left="720" w:firstLine="0"/>
        <w:jc w:val="both"/>
      </w:pPr>
    </w:p>
    <w:p w14:paraId="5282CE10" w14:textId="77777777" w:rsidR="008E33A1" w:rsidRDefault="008E33A1" w:rsidP="008E33A1">
      <w:pPr>
        <w:pStyle w:val="Bezmezer"/>
        <w:ind w:left="720" w:firstLine="0"/>
        <w:jc w:val="both"/>
      </w:pPr>
    </w:p>
    <w:p w14:paraId="24CEFB03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USB 3.0 porty:</w:t>
      </w:r>
      <w:r>
        <w:t xml:space="preserve"> minimálně 6x, minimálně 2 vpředu</w:t>
      </w:r>
    </w:p>
    <w:p w14:paraId="33807B41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Další porty:</w:t>
      </w:r>
      <w:r>
        <w:t xml:space="preserve"> minimálně 1x sériový</w:t>
      </w:r>
    </w:p>
    <w:p w14:paraId="63054C4B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Klávesnice:</w:t>
      </w:r>
      <w:r>
        <w:t xml:space="preserve"> plnohodnotná (104+ kláves, s numerickou částí), standardní velikosti s potiskem s českými znaky, rozhraní USB</w:t>
      </w:r>
    </w:p>
    <w:p w14:paraId="5D4CD7B9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Myš:</w:t>
      </w:r>
      <w:r>
        <w:t xml:space="preserve"> minimálně optická laserová 1000 dpi, rozhraní USB</w:t>
      </w:r>
    </w:p>
    <w:p w14:paraId="67FCC56C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Operační systém:</w:t>
      </w:r>
      <w:r>
        <w:t xml:space="preserve"> Microsoft Windows 10 </w:t>
      </w:r>
      <w:proofErr w:type="spellStart"/>
      <w:r>
        <w:t>Proffesional</w:t>
      </w:r>
      <w:proofErr w:type="spellEnd"/>
      <w:r>
        <w:t xml:space="preserve"> 64bit CZ OEM</w:t>
      </w:r>
    </w:p>
    <w:p w14:paraId="672EABAE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Rozměry šasi:</w:t>
      </w:r>
      <w:r>
        <w:t xml:space="preserve"> Mini Tower, odhlučněný case s přídavným chlazením a odvodem tepla</w:t>
      </w:r>
    </w:p>
    <w:p w14:paraId="047D1E30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rPr>
          <w:u w:val="single"/>
        </w:rPr>
        <w:t>Napájecí zdroj:</w:t>
      </w:r>
      <w:r>
        <w:t xml:space="preserve"> integrovaný v šasi, maximálně </w:t>
      </w:r>
      <w:proofErr w:type="gramStart"/>
      <w:r>
        <w:t>290W</w:t>
      </w:r>
      <w:proofErr w:type="gramEnd"/>
      <w:r>
        <w:t>, účinnost minimálně 85%, aktivní PFC</w:t>
      </w:r>
    </w:p>
    <w:p w14:paraId="4EFBC119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t>Možnosti instalace klienta NIS/RIS a dalších aplikací</w:t>
      </w:r>
    </w:p>
    <w:p w14:paraId="2B2BB59F" w14:textId="77777777" w:rsidR="008E33A1" w:rsidRDefault="008E33A1" w:rsidP="008E33A1">
      <w:pPr>
        <w:pStyle w:val="Bezmezer"/>
        <w:numPr>
          <w:ilvl w:val="0"/>
          <w:numId w:val="14"/>
        </w:numPr>
        <w:jc w:val="both"/>
      </w:pPr>
      <w:r>
        <w:t>Stanice není uzamčena pro případnou instalaci dalších SW nutných pro provoz zařízení v rámci IT infrastruktury Krajské zdravotní, a. s.</w:t>
      </w:r>
    </w:p>
    <w:p w14:paraId="46E370EC" w14:textId="77777777" w:rsidR="008E33A1" w:rsidRDefault="008E33A1" w:rsidP="008E33A1">
      <w:pPr>
        <w:pStyle w:val="Bezmezer"/>
        <w:ind w:firstLine="0"/>
        <w:jc w:val="both"/>
      </w:pPr>
    </w:p>
    <w:p w14:paraId="1E6FF79C" w14:textId="77777777" w:rsidR="008E33A1" w:rsidRDefault="008E33A1" w:rsidP="008E33A1">
      <w:pPr>
        <w:pStyle w:val="Bezmezer"/>
        <w:ind w:firstLine="0"/>
        <w:jc w:val="both"/>
        <w:rPr>
          <w:b/>
          <w:u w:val="single"/>
        </w:rPr>
      </w:pPr>
      <w:r>
        <w:rPr>
          <w:b/>
          <w:u w:val="single"/>
        </w:rPr>
        <w:t>Záložní zdroj napájení</w:t>
      </w:r>
      <w:r>
        <w:rPr>
          <w:b/>
          <w:u w:val="single"/>
        </w:rPr>
        <w:tab/>
        <w:t>1 ks</w:t>
      </w:r>
    </w:p>
    <w:p w14:paraId="487AE866" w14:textId="77777777" w:rsidR="008E33A1" w:rsidRDefault="008E33A1" w:rsidP="008E33A1">
      <w:pPr>
        <w:pStyle w:val="Bezmezer"/>
        <w:numPr>
          <w:ilvl w:val="0"/>
          <w:numId w:val="15"/>
        </w:numPr>
        <w:jc w:val="both"/>
      </w:pPr>
      <w:r>
        <w:t>Zálohování stanice v případě výpadku proudu pomocí UPS minimálně 15 min</w:t>
      </w:r>
    </w:p>
    <w:p w14:paraId="2E326AE5" w14:textId="77777777" w:rsidR="008E33A1" w:rsidRDefault="008E33A1" w:rsidP="008E33A1">
      <w:pPr>
        <w:pStyle w:val="Bezmezer"/>
        <w:numPr>
          <w:ilvl w:val="0"/>
          <w:numId w:val="15"/>
        </w:numPr>
        <w:jc w:val="both"/>
      </w:pPr>
      <w:r>
        <w:t>Záloha UPS ES 1000VA nebo vyšší</w:t>
      </w:r>
    </w:p>
    <w:p w14:paraId="5F3BA4DD" w14:textId="77777777" w:rsidR="008E33A1" w:rsidRDefault="008E33A1" w:rsidP="008E33A1">
      <w:pPr>
        <w:pStyle w:val="Bezmezer"/>
        <w:numPr>
          <w:ilvl w:val="0"/>
          <w:numId w:val="15"/>
        </w:numPr>
        <w:jc w:val="both"/>
      </w:pPr>
      <w:proofErr w:type="gramStart"/>
      <w:r>
        <w:t>230V</w:t>
      </w:r>
      <w:proofErr w:type="gramEnd"/>
    </w:p>
    <w:p w14:paraId="0E308BAE" w14:textId="77777777" w:rsidR="008E33A1" w:rsidRDefault="008E33A1" w:rsidP="008E33A1">
      <w:pPr>
        <w:pStyle w:val="Bezmezer"/>
        <w:ind w:firstLine="0"/>
        <w:jc w:val="both"/>
      </w:pPr>
    </w:p>
    <w:p w14:paraId="776B3A12" w14:textId="77777777" w:rsidR="008E33A1" w:rsidRDefault="008E33A1" w:rsidP="008E33A1">
      <w:pPr>
        <w:pStyle w:val="Bezmezer"/>
        <w:ind w:firstLine="0"/>
        <w:jc w:val="both"/>
        <w:rPr>
          <w:b/>
          <w:u w:val="single"/>
        </w:rPr>
      </w:pPr>
      <w:r>
        <w:rPr>
          <w:b/>
          <w:u w:val="single"/>
        </w:rPr>
        <w:t>Grafická karta</w:t>
      </w:r>
      <w:r>
        <w:rPr>
          <w:b/>
          <w:u w:val="single"/>
        </w:rPr>
        <w:tab/>
        <w:t>1 ks</w:t>
      </w:r>
    </w:p>
    <w:p w14:paraId="679FB6A7" w14:textId="6DA43ABF" w:rsidR="008E33A1" w:rsidRDefault="008E33A1" w:rsidP="008E33A1">
      <w:pPr>
        <w:pStyle w:val="Bezmezer"/>
        <w:numPr>
          <w:ilvl w:val="0"/>
          <w:numId w:val="16"/>
        </w:numPr>
        <w:jc w:val="both"/>
      </w:pPr>
      <w:r w:rsidRPr="008E33A1">
        <w:t>Speciální medicínská grafická karta s</w:t>
      </w:r>
      <w:r>
        <w:t> </w:t>
      </w:r>
      <w:r w:rsidRPr="008E33A1">
        <w:t>odpovídajícím</w:t>
      </w:r>
      <w:r>
        <w:t xml:space="preserve"> výkonem určená výrobcem monitoru pro připojení nabízených diagnostických monitorů (tzn. grafická karta, která je určena pro konkrétní typ nabízených diagnostických monitorů s napojením na náhledový monitor – musí podporovat DICOM zobrazení a kalibraci) – specifikace viz níže</w:t>
      </w:r>
    </w:p>
    <w:p w14:paraId="752F1715" w14:textId="77777777" w:rsidR="008E33A1" w:rsidRDefault="008E33A1" w:rsidP="008E33A1">
      <w:pPr>
        <w:pStyle w:val="Bezmezer"/>
        <w:numPr>
          <w:ilvl w:val="1"/>
          <w:numId w:val="16"/>
        </w:numPr>
        <w:jc w:val="both"/>
      </w:pPr>
      <w:r>
        <w:rPr>
          <w:u w:val="single"/>
        </w:rPr>
        <w:t>Výstupy grafické karty:</w:t>
      </w:r>
      <w:r>
        <w:t xml:space="preserve"> minimálně 4 digitální konektory DP nebo </w:t>
      </w:r>
      <w:proofErr w:type="spellStart"/>
      <w:r>
        <w:t>miniDP</w:t>
      </w:r>
      <w:proofErr w:type="spellEnd"/>
    </w:p>
    <w:p w14:paraId="2A95687B" w14:textId="77777777" w:rsidR="008E33A1" w:rsidRDefault="008E33A1" w:rsidP="008E33A1">
      <w:pPr>
        <w:pStyle w:val="Bezmezer"/>
        <w:ind w:firstLine="0"/>
        <w:jc w:val="both"/>
      </w:pPr>
    </w:p>
    <w:p w14:paraId="40D6073B" w14:textId="77777777" w:rsidR="008E33A1" w:rsidRDefault="008E33A1" w:rsidP="008E33A1">
      <w:pPr>
        <w:pStyle w:val="Bezmezer"/>
        <w:ind w:firstLine="0"/>
        <w:jc w:val="both"/>
        <w:rPr>
          <w:b/>
          <w:u w:val="single"/>
        </w:rPr>
      </w:pPr>
      <w:r>
        <w:rPr>
          <w:b/>
          <w:u w:val="single"/>
        </w:rPr>
        <w:t>Diagnostický monitor</w:t>
      </w:r>
      <w:r>
        <w:rPr>
          <w:b/>
          <w:u w:val="single"/>
        </w:rPr>
        <w:tab/>
        <w:t>2 ks</w:t>
      </w:r>
    </w:p>
    <w:p w14:paraId="6DE04663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 xml:space="preserve">Dle zákona č. 268/2014 Sb. o zdravotnických prostředcích musí diagnostické monitory splňovat specifikaci pro zdravotnický prostředek třídy rizika nejméně </w:t>
      </w:r>
      <w:proofErr w:type="spellStart"/>
      <w:r>
        <w:t>IIa</w:t>
      </w:r>
      <w:proofErr w:type="spellEnd"/>
      <w:r>
        <w:t xml:space="preserve"> a musí mít kalibrovanou svítivost bílé barvy minimálně 400 cd/m</w:t>
      </w:r>
      <w:r>
        <w:rPr>
          <w:vertAlign w:val="superscript"/>
        </w:rPr>
        <w:t>2</w:t>
      </w:r>
      <w:r>
        <w:t xml:space="preserve"> pro skiagrafii a pro ostatní (kromě mamografie) minimálně 200 cd/m</w:t>
      </w:r>
      <w:r>
        <w:rPr>
          <w:vertAlign w:val="superscript"/>
        </w:rPr>
        <w:t>2</w:t>
      </w:r>
      <w:r>
        <w:t xml:space="preserve"> </w:t>
      </w:r>
    </w:p>
    <w:p w14:paraId="4FF929A4" w14:textId="77777777" w:rsidR="008E33A1" w:rsidRPr="008E33A1" w:rsidRDefault="008E33A1" w:rsidP="008E33A1">
      <w:pPr>
        <w:pStyle w:val="Bezmezer"/>
        <w:numPr>
          <w:ilvl w:val="0"/>
          <w:numId w:val="17"/>
        </w:numPr>
        <w:jc w:val="both"/>
      </w:pPr>
      <w:r w:rsidRPr="008E33A1">
        <w:t>Barevný LCD monitor (barevné i černobílé zobrazení)</w:t>
      </w:r>
    </w:p>
    <w:p w14:paraId="24BF6527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 xml:space="preserve">Rozlišení minimálně 3 </w:t>
      </w:r>
      <w:proofErr w:type="spellStart"/>
      <w:r>
        <w:t>Mpx</w:t>
      </w:r>
      <w:proofErr w:type="spellEnd"/>
      <w:r>
        <w:t xml:space="preserve"> </w:t>
      </w:r>
    </w:p>
    <w:p w14:paraId="5D984436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Úhlopříčka minimálně 24</w:t>
      </w:r>
      <w:r>
        <w:rPr>
          <w:rFonts w:cs="Times New Roman"/>
        </w:rPr>
        <w:t xml:space="preserve">″ </w:t>
      </w:r>
      <w:r w:rsidRPr="008E33A1">
        <w:rPr>
          <w:rFonts w:cs="Times New Roman"/>
        </w:rPr>
        <w:t>(možná varianta 21″, resp. 21,3″)</w:t>
      </w:r>
    </w:p>
    <w:p w14:paraId="357DAA8D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Jednotné podání barev a rovnoměrný jas</w:t>
      </w:r>
    </w:p>
    <w:p w14:paraId="3104C262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proofErr w:type="spellStart"/>
      <w:r>
        <w:t>Kalibrovatelná</w:t>
      </w:r>
      <w:proofErr w:type="spellEnd"/>
      <w:r>
        <w:t xml:space="preserve"> svítivost minimálně 400 cd/m</w:t>
      </w:r>
      <w:r>
        <w:rPr>
          <w:vertAlign w:val="superscript"/>
        </w:rPr>
        <w:t>2</w:t>
      </w:r>
    </w:p>
    <w:p w14:paraId="1EA1F74E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Kontrast minimálně 1000:1</w:t>
      </w:r>
    </w:p>
    <w:p w14:paraId="46992CAC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Kalibrace jasu</w:t>
      </w:r>
    </w:p>
    <w:p w14:paraId="7D53AB4E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LED podsvícení</w:t>
      </w:r>
    </w:p>
    <w:p w14:paraId="0DDFD3F6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 xml:space="preserve">Stabilizovaný </w:t>
      </w:r>
      <w:proofErr w:type="spellStart"/>
      <w:r>
        <w:t>podsvit</w:t>
      </w:r>
      <w:proofErr w:type="spellEnd"/>
    </w:p>
    <w:p w14:paraId="5ED34B53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Barevná paleta minimálně 10 bitů (široký dynamický rozsah)</w:t>
      </w:r>
    </w:p>
    <w:p w14:paraId="6AFD8983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Pozorovací úhel ve vodorovném i svislém směru minimálně 170°</w:t>
      </w:r>
    </w:p>
    <w:p w14:paraId="1B91690B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Antireflexní vrstva proti odrazu</w:t>
      </w:r>
    </w:p>
    <w:p w14:paraId="3477879D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Orientace horizontálně i vertikálně</w:t>
      </w:r>
    </w:p>
    <w:p w14:paraId="689A69D9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Stojan monitoru musí umožňovat výškového nastavení minimálně 9 cm, sklopení dopředu/dozadu v rozsahu minimálně 5°-30° a otáčení doprava/doleva minimálně 20°</w:t>
      </w:r>
    </w:p>
    <w:p w14:paraId="06DBA58B" w14:textId="506E90C5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Kompatibilní se standardem DICOM</w:t>
      </w:r>
    </w:p>
    <w:p w14:paraId="3CB4B83F" w14:textId="7C0D2B30" w:rsidR="008E33A1" w:rsidRDefault="008E33A1" w:rsidP="008E33A1">
      <w:pPr>
        <w:pStyle w:val="Bezmezer"/>
        <w:jc w:val="both"/>
      </w:pPr>
    </w:p>
    <w:p w14:paraId="203EDCA1" w14:textId="26A2E0A2" w:rsidR="008E33A1" w:rsidRDefault="008E33A1" w:rsidP="008E33A1">
      <w:pPr>
        <w:pStyle w:val="Bezmezer"/>
        <w:jc w:val="both"/>
      </w:pPr>
    </w:p>
    <w:p w14:paraId="51908004" w14:textId="77777777" w:rsidR="008E33A1" w:rsidRDefault="008E33A1" w:rsidP="008E33A1">
      <w:pPr>
        <w:pStyle w:val="Bezmezer"/>
        <w:jc w:val="both"/>
      </w:pPr>
    </w:p>
    <w:p w14:paraId="336A74B4" w14:textId="77777777" w:rsidR="008E33A1" w:rsidRPr="008E33A1" w:rsidRDefault="008E33A1" w:rsidP="008E33A1">
      <w:pPr>
        <w:pStyle w:val="Bezmezer"/>
        <w:numPr>
          <w:ilvl w:val="0"/>
          <w:numId w:val="17"/>
        </w:numPr>
        <w:jc w:val="both"/>
      </w:pPr>
      <w:r w:rsidRPr="008E33A1">
        <w:t xml:space="preserve">Vstupní porty minimálně </w:t>
      </w:r>
      <w:proofErr w:type="spellStart"/>
      <w:r w:rsidRPr="008E33A1">
        <w:t>DisplayPort</w:t>
      </w:r>
      <w:proofErr w:type="spellEnd"/>
      <w:r w:rsidRPr="008E33A1">
        <w:t xml:space="preserve"> a HDMI (možná varianta DVI-D)</w:t>
      </w:r>
    </w:p>
    <w:p w14:paraId="160BE181" w14:textId="77777777" w:rsidR="008E33A1" w:rsidRDefault="008E33A1" w:rsidP="008E33A1">
      <w:pPr>
        <w:pStyle w:val="Bezmezer"/>
        <w:numPr>
          <w:ilvl w:val="0"/>
          <w:numId w:val="17"/>
        </w:numPr>
        <w:jc w:val="both"/>
      </w:pPr>
      <w:r>
        <w:t>Integrovaný snímač pro automatickou kalibraci</w:t>
      </w:r>
    </w:p>
    <w:p w14:paraId="60D6C99C" w14:textId="77777777" w:rsidR="008E33A1" w:rsidRDefault="008E33A1" w:rsidP="008E33A1">
      <w:pPr>
        <w:pStyle w:val="Bezmezer"/>
        <w:ind w:firstLine="0"/>
        <w:jc w:val="both"/>
      </w:pPr>
    </w:p>
    <w:p w14:paraId="2B0144E8" w14:textId="77777777" w:rsidR="008E33A1" w:rsidRDefault="008E33A1" w:rsidP="008E33A1">
      <w:pPr>
        <w:pStyle w:val="Bezmezer"/>
        <w:ind w:firstLine="0"/>
        <w:rPr>
          <w:b/>
          <w:u w:val="single"/>
        </w:rPr>
      </w:pPr>
      <w:r>
        <w:rPr>
          <w:b/>
          <w:u w:val="single"/>
        </w:rPr>
        <w:t>Kancelářský (náhledový) monitor</w:t>
      </w:r>
      <w:r>
        <w:rPr>
          <w:b/>
          <w:u w:val="single"/>
        </w:rPr>
        <w:tab/>
        <w:t>1 ks</w:t>
      </w:r>
    </w:p>
    <w:p w14:paraId="6ABD4CF3" w14:textId="77777777" w:rsidR="008E33A1" w:rsidRDefault="008E33A1" w:rsidP="008E33A1">
      <w:pPr>
        <w:pStyle w:val="Bezmezer"/>
        <w:numPr>
          <w:ilvl w:val="0"/>
          <w:numId w:val="16"/>
        </w:numPr>
      </w:pPr>
      <w:r>
        <w:t>Barevný LCD monitor sloužící pro NIS</w:t>
      </w:r>
    </w:p>
    <w:p w14:paraId="7B3DE9DB" w14:textId="77777777" w:rsidR="008E33A1" w:rsidRDefault="008E33A1" w:rsidP="008E33A1">
      <w:pPr>
        <w:pStyle w:val="Bezmezer"/>
        <w:numPr>
          <w:ilvl w:val="0"/>
          <w:numId w:val="16"/>
        </w:numPr>
      </w:pPr>
      <w:r>
        <w:t>Úhlopříčka minimálně 24</w:t>
      </w:r>
      <w:r>
        <w:rPr>
          <w:rFonts w:cs="Times New Roman"/>
        </w:rPr>
        <w:t>″</w:t>
      </w:r>
    </w:p>
    <w:p w14:paraId="11415FC3" w14:textId="77777777" w:rsidR="008E33A1" w:rsidRDefault="008E33A1" w:rsidP="008E33A1">
      <w:pPr>
        <w:pStyle w:val="Bezmezer"/>
        <w:numPr>
          <w:ilvl w:val="0"/>
          <w:numId w:val="16"/>
        </w:numPr>
      </w:pPr>
      <w:r>
        <w:rPr>
          <w:rFonts w:cs="Times New Roman"/>
        </w:rPr>
        <w:t xml:space="preserve">Rozlišení minimálně 1280x1024 </w:t>
      </w:r>
      <w:proofErr w:type="spellStart"/>
      <w:r>
        <w:rPr>
          <w:rFonts w:cs="Times New Roman"/>
        </w:rPr>
        <w:t>px</w:t>
      </w:r>
      <w:proofErr w:type="spellEnd"/>
    </w:p>
    <w:p w14:paraId="14037038" w14:textId="77777777" w:rsidR="008E33A1" w:rsidRDefault="008E33A1" w:rsidP="008E33A1">
      <w:pPr>
        <w:pStyle w:val="Bezmezer"/>
        <w:numPr>
          <w:ilvl w:val="0"/>
          <w:numId w:val="16"/>
        </w:numPr>
      </w:pPr>
      <w:r>
        <w:rPr>
          <w:rFonts w:cs="Times New Roman"/>
        </w:rPr>
        <w:t>Kontrast minimálně 1000:1</w:t>
      </w:r>
    </w:p>
    <w:p w14:paraId="62F4C68B" w14:textId="77777777" w:rsidR="008E33A1" w:rsidRDefault="008E33A1" w:rsidP="008E33A1">
      <w:pPr>
        <w:pStyle w:val="Bezmezer"/>
        <w:numPr>
          <w:ilvl w:val="0"/>
          <w:numId w:val="16"/>
        </w:numPr>
      </w:pPr>
      <w:r>
        <w:rPr>
          <w:rFonts w:cs="Times New Roman"/>
        </w:rPr>
        <w:t xml:space="preserve">Minimální svítivost 250 </w:t>
      </w:r>
      <w:r>
        <w:t>cd/m</w:t>
      </w:r>
      <w:r>
        <w:rPr>
          <w:vertAlign w:val="superscript"/>
        </w:rPr>
        <w:t>2</w:t>
      </w:r>
    </w:p>
    <w:p w14:paraId="6371B728" w14:textId="77777777" w:rsidR="008E33A1" w:rsidRDefault="008E33A1" w:rsidP="008E33A1">
      <w:pPr>
        <w:pStyle w:val="Bezmezer"/>
        <w:numPr>
          <w:ilvl w:val="0"/>
          <w:numId w:val="16"/>
        </w:numPr>
      </w:pPr>
      <w:r>
        <w:t>Reproduktory</w:t>
      </w:r>
    </w:p>
    <w:p w14:paraId="1C8C729E" w14:textId="77777777" w:rsidR="008E33A1" w:rsidRDefault="008E33A1" w:rsidP="008E33A1">
      <w:pPr>
        <w:pStyle w:val="Bezmezer"/>
        <w:numPr>
          <w:ilvl w:val="0"/>
          <w:numId w:val="16"/>
        </w:numPr>
      </w:pPr>
      <w:r>
        <w:t>LED podsvícení</w:t>
      </w:r>
    </w:p>
    <w:p w14:paraId="5315DF41" w14:textId="77777777" w:rsidR="008E33A1" w:rsidRDefault="008E33A1" w:rsidP="008E33A1">
      <w:pPr>
        <w:pStyle w:val="Bezmezer"/>
        <w:numPr>
          <w:ilvl w:val="0"/>
          <w:numId w:val="16"/>
        </w:numPr>
      </w:pPr>
      <w:r>
        <w:t>Pozorovací úhel minimálně 170°</w:t>
      </w:r>
    </w:p>
    <w:p w14:paraId="0922A1E0" w14:textId="77777777" w:rsidR="008E33A1" w:rsidRDefault="008E33A1" w:rsidP="008E33A1">
      <w:pPr>
        <w:pStyle w:val="Bezmezer"/>
        <w:numPr>
          <w:ilvl w:val="0"/>
          <w:numId w:val="16"/>
        </w:numPr>
      </w:pPr>
      <w:r>
        <w:t>Výškově stavitelný</w:t>
      </w:r>
    </w:p>
    <w:p w14:paraId="10A8B903" w14:textId="77777777" w:rsidR="008E33A1" w:rsidRDefault="008E33A1" w:rsidP="008E33A1">
      <w:pPr>
        <w:pStyle w:val="Bezmezer"/>
        <w:ind w:firstLine="0"/>
      </w:pPr>
    </w:p>
    <w:p w14:paraId="09D278E5" w14:textId="77777777" w:rsidR="00431043" w:rsidRDefault="00431043" w:rsidP="00431043">
      <w:pPr>
        <w:pStyle w:val="Nadpis2"/>
      </w:pPr>
      <w:r>
        <w:t>Požadované příslušenství:</w:t>
      </w:r>
    </w:p>
    <w:p w14:paraId="6A749EB0" w14:textId="77777777" w:rsidR="00431043" w:rsidRPr="00EA333B" w:rsidRDefault="00431043" w:rsidP="0043104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33B">
        <w:rPr>
          <w:rFonts w:ascii="Times New Roman" w:eastAsia="Calibri" w:hAnsi="Times New Roman" w:cs="Times New Roman"/>
          <w:sz w:val="24"/>
          <w:szCs w:val="24"/>
        </w:rPr>
        <w:t>Další příslušenství nutné k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A333B">
        <w:rPr>
          <w:rFonts w:ascii="Times New Roman" w:eastAsia="Calibri" w:hAnsi="Times New Roman" w:cs="Times New Roman"/>
          <w:sz w:val="24"/>
          <w:szCs w:val="24"/>
        </w:rPr>
        <w:t>uvedení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33B">
        <w:rPr>
          <w:rFonts w:ascii="Times New Roman" w:eastAsia="Calibri" w:hAnsi="Times New Roman" w:cs="Times New Roman"/>
          <w:sz w:val="24"/>
          <w:szCs w:val="24"/>
        </w:rPr>
        <w:t>přístroje do provozu a ke splnění účelu použití.</w:t>
      </w:r>
    </w:p>
    <w:p w14:paraId="60855D0F" w14:textId="77777777" w:rsidR="00431043" w:rsidRPr="00431043" w:rsidRDefault="00431043" w:rsidP="00431043"/>
    <w:p w14:paraId="0E1F90AD" w14:textId="25036543" w:rsidR="00C601F7" w:rsidRPr="00431043" w:rsidRDefault="00C601F7" w:rsidP="00431043">
      <w:pPr>
        <w:pStyle w:val="Nadpis2"/>
      </w:pPr>
    </w:p>
    <w:p w14:paraId="0F747253" w14:textId="40602CF2" w:rsidR="007D1E4F" w:rsidRDefault="007D1E4F" w:rsidP="008833C6">
      <w:pPr>
        <w:pStyle w:val="Bezmezer"/>
        <w:ind w:firstLine="0"/>
        <w:rPr>
          <w:rFonts w:ascii="Arial" w:hAnsi="Arial" w:cs="Arial"/>
          <w:b/>
          <w:bCs/>
          <w:color w:val="004EA2"/>
          <w:szCs w:val="24"/>
          <w:lang w:eastAsia="cs-CZ"/>
        </w:rPr>
      </w:pPr>
      <w:bookmarkStart w:id="0" w:name="_GoBack"/>
      <w:bookmarkEnd w:id="0"/>
    </w:p>
    <w:p w14:paraId="133ABE69" w14:textId="77777777" w:rsidR="001463DF" w:rsidRDefault="001463DF" w:rsidP="001463DF">
      <w:pPr>
        <w:pStyle w:val="Bezmezer"/>
        <w:ind w:firstLine="0"/>
        <w:rPr>
          <w:b/>
        </w:rPr>
      </w:pPr>
    </w:p>
    <w:p w14:paraId="44A90586" w14:textId="77777777" w:rsidR="001463DF" w:rsidRDefault="001463DF" w:rsidP="008833C6">
      <w:pPr>
        <w:pStyle w:val="Bezmezer"/>
        <w:ind w:firstLine="0"/>
      </w:pPr>
    </w:p>
    <w:p w14:paraId="0152A65C" w14:textId="77777777" w:rsidR="007D1E4F" w:rsidRDefault="007D1E4F" w:rsidP="008833C6">
      <w:pPr>
        <w:pStyle w:val="Bezmezer"/>
        <w:ind w:firstLine="0"/>
      </w:pPr>
    </w:p>
    <w:p w14:paraId="1775CAA8" w14:textId="2D9EC961" w:rsidR="00EA32AA" w:rsidRPr="00EA32AA" w:rsidRDefault="00EA32AA" w:rsidP="00EA32AA">
      <w:pPr>
        <w:pStyle w:val="Bezmezer"/>
        <w:ind w:firstLine="0"/>
      </w:pPr>
    </w:p>
    <w:sectPr w:rsidR="00EA32AA" w:rsidRPr="00EA32AA" w:rsidSect="00D375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A963" w14:textId="77777777" w:rsidR="00617487" w:rsidRDefault="00617487" w:rsidP="000C2EDC">
      <w:pPr>
        <w:spacing w:after="0" w:line="240" w:lineRule="auto"/>
      </w:pPr>
      <w:r>
        <w:separator/>
      </w:r>
    </w:p>
  </w:endnote>
  <w:endnote w:type="continuationSeparator" w:id="0">
    <w:p w14:paraId="0D1F84BC" w14:textId="77777777" w:rsidR="00617487" w:rsidRDefault="00617487" w:rsidP="000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52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208E72" w14:textId="77777777" w:rsidR="000C2EDC" w:rsidRDefault="000C2EDC">
            <w:pPr>
              <w:pStyle w:val="Zpat"/>
              <w:jc w:val="right"/>
            </w:pP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A0B0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A0B0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0C2ED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5687B" w14:textId="77777777" w:rsidR="000C2EDC" w:rsidRDefault="000C2E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81A8" w14:textId="77777777" w:rsidR="00617487" w:rsidRDefault="00617487" w:rsidP="000C2EDC">
      <w:pPr>
        <w:spacing w:after="0" w:line="240" w:lineRule="auto"/>
      </w:pPr>
      <w:r>
        <w:separator/>
      </w:r>
    </w:p>
  </w:footnote>
  <w:footnote w:type="continuationSeparator" w:id="0">
    <w:p w14:paraId="7165DAFF" w14:textId="77777777" w:rsidR="00617487" w:rsidRDefault="00617487" w:rsidP="000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FD6A" w14:textId="197C91A0" w:rsidR="00703D49" w:rsidRDefault="00703D4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B63BE" wp14:editId="2B337B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8C0"/>
    <w:multiLevelType w:val="hybridMultilevel"/>
    <w:tmpl w:val="4C12D2D2"/>
    <w:lvl w:ilvl="0" w:tplc="78F26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AB"/>
    <w:multiLevelType w:val="hybridMultilevel"/>
    <w:tmpl w:val="76426254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F55"/>
    <w:multiLevelType w:val="hybridMultilevel"/>
    <w:tmpl w:val="5F4E95EA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339"/>
    <w:multiLevelType w:val="hybridMultilevel"/>
    <w:tmpl w:val="49220742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79D1"/>
    <w:multiLevelType w:val="hybridMultilevel"/>
    <w:tmpl w:val="339C3368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D2C"/>
    <w:multiLevelType w:val="hybridMultilevel"/>
    <w:tmpl w:val="429A6160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9B4852"/>
    <w:multiLevelType w:val="hybridMultilevel"/>
    <w:tmpl w:val="75C0CE48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4C4F"/>
    <w:multiLevelType w:val="hybridMultilevel"/>
    <w:tmpl w:val="82102056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09C8"/>
    <w:multiLevelType w:val="hybridMultilevel"/>
    <w:tmpl w:val="1B1C4FE0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04F7A"/>
    <w:multiLevelType w:val="hybridMultilevel"/>
    <w:tmpl w:val="9A96EEC6"/>
    <w:lvl w:ilvl="0" w:tplc="75DE2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E0B51BB"/>
    <w:multiLevelType w:val="hybridMultilevel"/>
    <w:tmpl w:val="CFD24364"/>
    <w:lvl w:ilvl="0" w:tplc="3BB4DF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35"/>
    <w:rsid w:val="00006419"/>
    <w:rsid w:val="00013235"/>
    <w:rsid w:val="00015139"/>
    <w:rsid w:val="000477F4"/>
    <w:rsid w:val="00051F0E"/>
    <w:rsid w:val="000812DA"/>
    <w:rsid w:val="00096613"/>
    <w:rsid w:val="000B453F"/>
    <w:rsid w:val="000C2EDC"/>
    <w:rsid w:val="000E6B6A"/>
    <w:rsid w:val="001463DF"/>
    <w:rsid w:val="001A4372"/>
    <w:rsid w:val="001E1614"/>
    <w:rsid w:val="00227D6B"/>
    <w:rsid w:val="00233310"/>
    <w:rsid w:val="002F60D1"/>
    <w:rsid w:val="00301382"/>
    <w:rsid w:val="00305C7C"/>
    <w:rsid w:val="00361241"/>
    <w:rsid w:val="003C3974"/>
    <w:rsid w:val="00431043"/>
    <w:rsid w:val="004B3DFA"/>
    <w:rsid w:val="004C0885"/>
    <w:rsid w:val="005258B0"/>
    <w:rsid w:val="00526380"/>
    <w:rsid w:val="005966E8"/>
    <w:rsid w:val="005D7FBE"/>
    <w:rsid w:val="005F6B5C"/>
    <w:rsid w:val="00617487"/>
    <w:rsid w:val="00656C78"/>
    <w:rsid w:val="00671758"/>
    <w:rsid w:val="006828D8"/>
    <w:rsid w:val="00690F43"/>
    <w:rsid w:val="006F25FC"/>
    <w:rsid w:val="00703D49"/>
    <w:rsid w:val="007459B0"/>
    <w:rsid w:val="00752E55"/>
    <w:rsid w:val="007678F5"/>
    <w:rsid w:val="0077383F"/>
    <w:rsid w:val="007D1E4F"/>
    <w:rsid w:val="00845B44"/>
    <w:rsid w:val="00880A5A"/>
    <w:rsid w:val="008833C6"/>
    <w:rsid w:val="008928E1"/>
    <w:rsid w:val="008D231A"/>
    <w:rsid w:val="008E33A1"/>
    <w:rsid w:val="008E3551"/>
    <w:rsid w:val="00926E4A"/>
    <w:rsid w:val="0094119E"/>
    <w:rsid w:val="009B6F7E"/>
    <w:rsid w:val="009C7BA1"/>
    <w:rsid w:val="009D5ECF"/>
    <w:rsid w:val="00A121F6"/>
    <w:rsid w:val="00A46313"/>
    <w:rsid w:val="00AA4242"/>
    <w:rsid w:val="00B12DE4"/>
    <w:rsid w:val="00B27F1F"/>
    <w:rsid w:val="00B424F2"/>
    <w:rsid w:val="00B85BB2"/>
    <w:rsid w:val="00B967F2"/>
    <w:rsid w:val="00BB2BFB"/>
    <w:rsid w:val="00BB4D89"/>
    <w:rsid w:val="00C239D4"/>
    <w:rsid w:val="00C26395"/>
    <w:rsid w:val="00C342B9"/>
    <w:rsid w:val="00C601F7"/>
    <w:rsid w:val="00C8463F"/>
    <w:rsid w:val="00C92636"/>
    <w:rsid w:val="00CA0B0E"/>
    <w:rsid w:val="00CA3C3E"/>
    <w:rsid w:val="00CB6F13"/>
    <w:rsid w:val="00CC4064"/>
    <w:rsid w:val="00CD4F32"/>
    <w:rsid w:val="00CF228D"/>
    <w:rsid w:val="00D06A4A"/>
    <w:rsid w:val="00D07244"/>
    <w:rsid w:val="00D32179"/>
    <w:rsid w:val="00D35806"/>
    <w:rsid w:val="00D3754F"/>
    <w:rsid w:val="00D72DF5"/>
    <w:rsid w:val="00E01FB7"/>
    <w:rsid w:val="00E32072"/>
    <w:rsid w:val="00EA32AA"/>
    <w:rsid w:val="00EB2205"/>
    <w:rsid w:val="00EB56A8"/>
    <w:rsid w:val="00EC704F"/>
    <w:rsid w:val="00F1238A"/>
    <w:rsid w:val="00F44776"/>
    <w:rsid w:val="00F47665"/>
    <w:rsid w:val="00FA028A"/>
    <w:rsid w:val="00FB5A4F"/>
    <w:rsid w:val="00FC70CB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11F0"/>
  <w15:docId w15:val="{AC3787D6-FBB3-4D48-8CE3-64774FD4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Bezmezer"/>
    <w:link w:val="Nadpis1Char"/>
    <w:uiPriority w:val="9"/>
    <w:qFormat/>
    <w:rsid w:val="005F6B5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B5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6B5C"/>
    <w:rPr>
      <w:rFonts w:ascii="Times New Roman" w:eastAsiaTheme="majorEastAsia" w:hAnsi="Times New Roman" w:cstheme="majorBidi"/>
      <w:b/>
      <w:sz w:val="32"/>
      <w:szCs w:val="32"/>
    </w:rPr>
  </w:style>
  <w:style w:type="paragraph" w:styleId="Bezmezer">
    <w:name w:val="No Spacing"/>
    <w:uiPriority w:val="1"/>
    <w:qFormat/>
    <w:rsid w:val="005F6B5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5F6B5C"/>
    <w:rPr>
      <w:rFonts w:ascii="Times New Roman" w:eastAsiaTheme="majorEastAsia" w:hAnsi="Times New Roman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12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DC"/>
  </w:style>
  <w:style w:type="paragraph" w:styleId="Zpat">
    <w:name w:val="footer"/>
    <w:basedOn w:val="Normln"/>
    <w:link w:val="ZpatChar"/>
    <w:uiPriority w:val="99"/>
    <w:unhideWhenUsed/>
    <w:rsid w:val="000C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DC"/>
  </w:style>
  <w:style w:type="character" w:styleId="Odkaznakoment">
    <w:name w:val="annotation reference"/>
    <w:basedOn w:val="Standardnpsmoodstavce"/>
    <w:unhideWhenUsed/>
    <w:rsid w:val="004C088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C08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08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8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8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8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463DF"/>
    <w:rPr>
      <w:color w:val="0563C1"/>
      <w:u w:val="single"/>
    </w:rPr>
  </w:style>
  <w:style w:type="paragraph" w:customStyle="1" w:styleId="xmsonormal">
    <w:name w:val="x_msonormal"/>
    <w:basedOn w:val="Normln"/>
    <w:rsid w:val="001463DF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59C9-83C1-4F3C-B896-85B745ED1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D7849-83B1-45D5-A747-895B73D59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97BA7-D2B1-486A-87EF-873A40ED0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5B401-1976-43D3-AD1E-F3B8B29D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Klára</dc:creator>
  <cp:lastModifiedBy>Sedlák Marek</cp:lastModifiedBy>
  <cp:revision>8</cp:revision>
  <cp:lastPrinted>2021-02-01T12:05:00Z</cp:lastPrinted>
  <dcterms:created xsi:type="dcterms:W3CDTF">2021-02-15T10:01:00Z</dcterms:created>
  <dcterms:modified xsi:type="dcterms:W3CDTF">2021-05-03T10:44:00Z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0x010100B85D10A064583D429E3218C50D94C649</vt:lpwstr>
  </property>
</Properties>
</file>