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 xml:space="preserve">Technická specifikace </w:t>
      </w:r>
    </w:p>
    <w:p w:rsidR="004950AD" w:rsidRP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4950AD" w:rsidRPr="004950AD" w:rsidRDefault="00457BFE" w:rsidP="004950AD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M</w:t>
      </w:r>
      <w:r w:rsidR="004950AD" w:rsidRPr="004950AD">
        <w:rPr>
          <w:rFonts w:asciiTheme="minorHAnsi" w:hAnsiTheme="minorHAnsi" w:cstheme="minorHAnsi"/>
          <w:b/>
          <w:sz w:val="22"/>
          <w:szCs w:val="22"/>
          <w:u w:val="single"/>
        </w:rPr>
        <w:t xml:space="preserve">agnetická rezonance 1.5T pro RDG oddělení Krajské zdravotní, a.s. – Nemocnice Chomutov, </w:t>
      </w:r>
      <w:proofErr w:type="gramStart"/>
      <w:r w:rsidR="004950AD" w:rsidRPr="004950AD">
        <w:rPr>
          <w:rFonts w:asciiTheme="minorHAnsi" w:hAnsiTheme="minorHAnsi" w:cstheme="minorHAnsi"/>
          <w:b/>
          <w:sz w:val="22"/>
          <w:szCs w:val="22"/>
          <w:u w:val="single"/>
        </w:rPr>
        <w:t>o.z.</w:t>
      </w:r>
      <w:proofErr w:type="gramEnd"/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  <w:r w:rsidRPr="004950AD">
        <w:rPr>
          <w:rFonts w:asciiTheme="minorHAnsi" w:hAnsiTheme="minorHAnsi" w:cstheme="minorHAnsi"/>
          <w:sz w:val="22"/>
          <w:szCs w:val="22"/>
          <w:u w:val="single"/>
        </w:rPr>
        <w:t>Minimální technické požadavky: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Magnet: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supravodivý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bezodparový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systém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intenzita pole 1.5 T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aktivní stínění a aktivní korekce homogenity magnetického pole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techniky pro snížení hluku (ART -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Acoustic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Reduction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Quiet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AutoSofTone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QuiteX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/PETRA)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vyšetřovací FOV v osách x, y, z min. 50x50x45 cm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průměr otvoru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gantry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min. 70 cm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Homogenita základního magnetického pole garantovaná maximálně 1,5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 (ve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sferickém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objemu min. 40 cm) VRMS</w:t>
      </w:r>
    </w:p>
    <w:p w:rsidR="004950AD" w:rsidRPr="004950AD" w:rsidRDefault="004950AD" w:rsidP="004950AD">
      <w:pPr>
        <w:pStyle w:val="Standard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pacientský stůl s nosností min. 200 kg se zachováním všech motorických pohybů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Gradientní a radiofrekvenční systém:</w:t>
      </w:r>
    </w:p>
    <w:p w:rsidR="004950AD" w:rsidRPr="004950AD" w:rsidRDefault="004950AD" w:rsidP="004950AD">
      <w:pPr>
        <w:pStyle w:val="Standard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amplituda ≥ 40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/m v ose (x, y a z) </w:t>
      </w:r>
    </w:p>
    <w:p w:rsidR="004950AD" w:rsidRPr="004950AD" w:rsidRDefault="004950AD" w:rsidP="004950AD">
      <w:pPr>
        <w:pStyle w:val="Standard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slew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rate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≥ 200 T/m/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ms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 ose (x, y a z)</w:t>
      </w:r>
    </w:p>
    <w:p w:rsidR="004950AD" w:rsidRPr="004950AD" w:rsidRDefault="00D8518B" w:rsidP="004950AD">
      <w:pPr>
        <w:pStyle w:val="Standard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minimálně 32 nezávislých přijímacích akvizičních kanálů</w:t>
      </w:r>
      <w:r w:rsidR="004950AD" w:rsidRPr="004950AD">
        <w:rPr>
          <w:rFonts w:asciiTheme="minorHAnsi" w:hAnsiTheme="minorHAnsi" w:cstheme="minorHAnsi"/>
          <w:sz w:val="22"/>
          <w:szCs w:val="22"/>
        </w:rPr>
        <w:t>, paralelní akviziční techniky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Akviziční a výpočetní systém:</w:t>
      </w:r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výkonný výpočetní systém s min. 32 GB rekonstrukční pamětí, LCD monitor min. 19“, archivace vyšetření na DVD</w:t>
      </w:r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akviziční a rekonstrukční matrice 64*64 až 1024*1024</w:t>
      </w:r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Secondary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Capture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Worklist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, MPPS</w:t>
      </w:r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možnost kopírování parametrů vyšetření do nových akvizic, možnost opakování studií při zachování parametrů předchozích vyšetření</w:t>
      </w:r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VCG/ECG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hradlování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respirační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gating</w:t>
      </w:r>
      <w:proofErr w:type="spellEnd"/>
    </w:p>
    <w:p w:rsidR="004950AD" w:rsidRPr="004950AD" w:rsidRDefault="004950AD" w:rsidP="004950AD">
      <w:pPr>
        <w:pStyle w:val="Standard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rychlost rekonstrukce min. 10000 obr/s v matrici 256 x 256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Požadovaná vyšetření: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neurologická vyšetření  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vyšetření všech spinálních etáží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základní difůze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single-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voxel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spektroskopie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susceptibilně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vážené zobrazení kombinující amplitudovou a fázovou informaci gradientní sekvence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angiografická vyšetření (nativní i kontrastní) mozkových tepen, krčních tepen, aorty a jejích větví, periferních končetinových tepen, kontrastní angiografie tepen celého těla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břišních orgánů a malé pánve (mužské i ženské), 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MRCP vyšetření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ortopedická vyšetření včetně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muskuloskeletárního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aparátu (klouby kolenní, ramenní, zápěstní a kotník)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celotělové vyšetření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Whole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Body </w:t>
      </w:r>
      <w:proofErr w:type="spellStart"/>
      <w:proofErr w:type="gramStart"/>
      <w:r w:rsidRPr="004950AD">
        <w:rPr>
          <w:rFonts w:asciiTheme="minorHAnsi" w:hAnsiTheme="minorHAnsi" w:cstheme="minorHAnsi"/>
          <w:sz w:val="22"/>
          <w:szCs w:val="22"/>
        </w:rPr>
        <w:t>Imaging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) (rozsah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celotělového vyšetření jako hodnotící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subkritérium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), 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celotělová difúze pro zobrazení lézí v onkologických studiích (zobraz.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typu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PET)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>pediatrická vyšetření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prsní vyšetření v rámci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mamoscreeningového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centra a KOC</w:t>
      </w:r>
    </w:p>
    <w:p w:rsidR="004950AD" w:rsidRPr="004950AD" w:rsidRDefault="004950AD" w:rsidP="004950AD">
      <w:pPr>
        <w:pStyle w:val="Standard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Head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first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feet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first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vyšetření - možnost umístit pacienta jak hlavou, tak nohama napřed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Sekvence:</w:t>
      </w:r>
    </w:p>
    <w:p w:rsidR="004950AD" w:rsidRPr="004950AD" w:rsidRDefault="004950AD" w:rsidP="004950AD">
      <w:pPr>
        <w:pStyle w:val="Standard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všechny potřebné sekvence pro výše uvedené spektrum vyšetření včetně ultrarychlých sekvencí typu single shot, technika snímání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mDIXON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pro gradientní sekvence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Vybavení cívkami (integrovanými a kombinovatelnými):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vícekanálová cívka pro vyšetření páteře použitelná pro celotělové vyšetření (integrovaná do stolu)    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15- kanálová hlavo/krční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neurovaskulární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cívka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minimálně 15 -kanálová hlavová cívka dedikovaná pro nejnáročnější neuro vyšetření</w:t>
      </w:r>
    </w:p>
    <w:p w:rsidR="004950AD" w:rsidRPr="004950AD" w:rsidRDefault="004950AD" w:rsidP="004950AD">
      <w:pPr>
        <w:pStyle w:val="Standard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případně minimálně 15 – kanálová hlavo/krční cívka splňující parametry a požadavky na vyšetření dle bodu </w:t>
      </w:r>
      <w:r w:rsidR="0008742C">
        <w:rPr>
          <w:rFonts w:asciiTheme="minorHAnsi" w:hAnsiTheme="minorHAnsi" w:cstheme="minorHAnsi"/>
          <w:sz w:val="22"/>
          <w:szCs w:val="22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 xml:space="preserve"> a </w:t>
      </w:r>
      <w:r w:rsidR="0008742C">
        <w:rPr>
          <w:rFonts w:asciiTheme="minorHAnsi" w:hAnsiTheme="minorHAnsi" w:cstheme="minorHAnsi"/>
          <w:sz w:val="22"/>
          <w:szCs w:val="22"/>
        </w:rPr>
        <w:t>3</w:t>
      </w:r>
    </w:p>
    <w:p w:rsidR="004950AD" w:rsidRPr="004950AD" w:rsidRDefault="004950AD" w:rsidP="004950AD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vícekanálová  povrchová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cívka, případně kombinace více povrchových cívek - určení pro vyšetření břišních orgánů a malé pánve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vícekanálová fixní dedikovaná cívka, případně kombinace fixních cívek pro vyšetření periferních tepen dolních končetin  - min. 15 – kanálů ve FOV s min. pokrytím 90 cm </w:t>
      </w:r>
    </w:p>
    <w:p w:rsidR="004950AD" w:rsidRPr="004950AD" w:rsidRDefault="004950AD" w:rsidP="004950AD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15-kanálová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kolenního kloubu</w:t>
      </w:r>
    </w:p>
    <w:p w:rsidR="004950AD" w:rsidRPr="004950AD" w:rsidRDefault="004950AD" w:rsidP="004950AD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16-kanálová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ramenního kloubu</w:t>
      </w:r>
    </w:p>
    <w:p w:rsidR="004950AD" w:rsidRPr="004950AD" w:rsidRDefault="004950AD" w:rsidP="004950AD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kotníku</w:t>
      </w:r>
    </w:p>
    <w:p w:rsidR="004950AD" w:rsidRPr="004950AD" w:rsidRDefault="004950AD" w:rsidP="004950AD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zápěstí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vícekanálové (min. 4 kanálové) flexibilní cívky (2ks - různé velikosti)</w:t>
      </w:r>
      <w:r w:rsidR="00B27931">
        <w:rPr>
          <w:rFonts w:asciiTheme="minorHAnsi" w:hAnsiTheme="minorHAnsi" w:cstheme="minorHAnsi"/>
          <w:sz w:val="22"/>
          <w:szCs w:val="22"/>
        </w:rPr>
        <w:t xml:space="preserve"> pro </w:t>
      </w:r>
      <w:r w:rsidR="00B27931" w:rsidRPr="006601E5">
        <w:rPr>
          <w:rFonts w:asciiTheme="minorHAnsi" w:hAnsiTheme="minorHAnsi" w:cstheme="minorHAnsi"/>
          <w:sz w:val="22"/>
          <w:szCs w:val="22"/>
        </w:rPr>
        <w:t>různé anatomické oblasti</w:t>
      </w:r>
    </w:p>
    <w:p w:rsidR="004950AD" w:rsidRPr="004950AD" w:rsidRDefault="004950AD" w:rsidP="004950AD">
      <w:pPr>
        <w:pStyle w:val="Standard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vícekanálová,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minimálně 8-kanálová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prsní cívka určená pro komplexní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mamodiagnostiku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Pozn.  Zadavatel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požaduje v případě nabídky flexibilních cívek pro vyšetření v bodech 6, 7, 8 a 9 dodání 1 ks cívky pro každý druh vyšetření odpovídající velikosti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b/>
          <w:sz w:val="22"/>
          <w:szCs w:val="22"/>
        </w:rPr>
        <w:t>Multimodalitní</w:t>
      </w:r>
      <w:proofErr w:type="spellEnd"/>
      <w:r w:rsidRPr="004950AD">
        <w:rPr>
          <w:rFonts w:asciiTheme="minorHAnsi" w:hAnsiTheme="minorHAnsi" w:cstheme="minorHAnsi"/>
          <w:b/>
          <w:sz w:val="22"/>
          <w:szCs w:val="22"/>
        </w:rPr>
        <w:t xml:space="preserve">  vyhodnocovací pracovní stanice:</w:t>
      </w:r>
    </w:p>
    <w:p w:rsidR="004950AD" w:rsidRPr="004950AD" w:rsidRDefault="004950AD" w:rsidP="004950AD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pracovní stanice s programovým vybavením potřebným k realizaci uvedených požadovaných vyšetření</w:t>
      </w:r>
    </w:p>
    <w:p w:rsidR="004950AD" w:rsidRPr="004950AD" w:rsidRDefault="004950AD" w:rsidP="004950AD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2x LCD monitor min. </w:t>
      </w:r>
      <w:r w:rsidR="00457BFE">
        <w:rPr>
          <w:rFonts w:asciiTheme="minorHAnsi" w:hAnsiTheme="minorHAnsi" w:cstheme="minorHAnsi"/>
          <w:sz w:val="22"/>
          <w:szCs w:val="22"/>
        </w:rPr>
        <w:t>19</w:t>
      </w:r>
      <w:r w:rsidRPr="004950AD">
        <w:rPr>
          <w:rFonts w:asciiTheme="minorHAnsi" w:hAnsiTheme="minorHAnsi" w:cstheme="minorHAnsi"/>
          <w:sz w:val="22"/>
          <w:szCs w:val="22"/>
        </w:rPr>
        <w:t>“</w:t>
      </w:r>
    </w:p>
    <w:p w:rsidR="004950AD" w:rsidRPr="004950AD" w:rsidRDefault="004950AD" w:rsidP="004950AD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archivace vyšetření na CD/DVD </w:t>
      </w:r>
    </w:p>
    <w:p w:rsidR="004950AD" w:rsidRPr="004950AD" w:rsidRDefault="004950AD" w:rsidP="004950AD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možnost zobrazování studií z jiných zobrazovacích modalit uložených v PACS zadavatele</w:t>
      </w:r>
    </w:p>
    <w:p w:rsidR="004950AD" w:rsidRPr="004950AD" w:rsidRDefault="004950AD" w:rsidP="004950AD">
      <w:pPr>
        <w:pStyle w:val="Standard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Příslušenství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monitorovací kamerový systém pro sledování pacienta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komunikační systém vyšetřovna - ovladovna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připojovací skříň medicinálních plynů (O2, vakuum, N2O, vzduch)</w:t>
      </w:r>
    </w:p>
    <w:p w:rsidR="004950AD" w:rsidRPr="004950AD" w:rsidRDefault="004950AD" w:rsidP="00A92EBF">
      <w:pPr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 xml:space="preserve">Faradayova stínící kabina včetně průhledového okna, vstupních dveří a rozvodů, LED osvětlení vyšetřovny vč. kabeláže, vnitřní obložení, podhledy, VZT rozvody vč.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výůstků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r w:rsidR="00A92EBF">
        <w:rPr>
          <w:rFonts w:asciiTheme="minorHAnsi" w:hAnsiTheme="minorHAnsi" w:cstheme="minorHAnsi"/>
          <w:sz w:val="22"/>
          <w:szCs w:val="22"/>
        </w:rPr>
        <w:t xml:space="preserve">medicinálních plynů </w:t>
      </w:r>
      <w:r w:rsidRPr="004950AD">
        <w:rPr>
          <w:rFonts w:asciiTheme="minorHAnsi" w:hAnsiTheme="minorHAnsi" w:cstheme="minorHAnsi"/>
          <w:sz w:val="22"/>
          <w:szCs w:val="22"/>
        </w:rPr>
        <w:t>uvnitř kabiny, podlahové krytiny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síťový a technologický rozvaděč pro MR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technologický projekt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nemagnetický transportní pacientský vozík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dvouhlavý injektor kontrastní látky na pojízdném stojanu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záložní zdroj – UPS vyšší kategorie na uchování jak v zdrojových, tak vyhodnocovacích dat</w:t>
      </w:r>
    </w:p>
    <w:p w:rsidR="004950AD" w:rsidRPr="004950AD" w:rsidRDefault="004950AD" w:rsidP="00A92EBF">
      <w:pPr>
        <w:pStyle w:val="Standard"/>
        <w:numPr>
          <w:ilvl w:val="0"/>
          <w:numId w:val="2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chladící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systém pro dodávanou technologii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Technické požadavky: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(akviziční stanice, diagnostická pracovní stanice – dále jen modalita) musí být minimálně DICOM 3.0 kompatibilní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pracovat s DICOM WORKLIST (MWL) v napojení na RIS/NIS systémy KZ, a.s.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funkci STORAGE COMMITMENT pro PACS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MPPS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Multiple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Performed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Procedure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Step)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5F57B3" w:rsidP="004950AD">
      <w:pPr>
        <w:pStyle w:val="Standard"/>
        <w:spacing w:before="6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Další </w:t>
      </w:r>
      <w:r w:rsidR="004950AD" w:rsidRPr="004950AD">
        <w:rPr>
          <w:rFonts w:asciiTheme="minorHAnsi" w:hAnsiTheme="minorHAnsi" w:cstheme="minorHAnsi"/>
          <w:b/>
          <w:sz w:val="22"/>
          <w:szCs w:val="22"/>
          <w:u w:val="single"/>
        </w:rPr>
        <w:t>požadavky: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950AD" w:rsidRPr="004950AD" w:rsidRDefault="004950AD" w:rsidP="00CE24D8">
      <w:pPr>
        <w:pStyle w:val="Odstavecseseznamem"/>
        <w:spacing w:after="200" w:line="276" w:lineRule="auto"/>
        <w:rPr>
          <w:rFonts w:asciiTheme="minorHAnsi" w:hAnsiTheme="minorHAnsi" w:cstheme="minorHAnsi"/>
        </w:rPr>
      </w:pPr>
    </w:p>
    <w:p w:rsidR="004950AD" w:rsidRPr="004950AD" w:rsidRDefault="004950AD" w:rsidP="004950AD">
      <w:pPr>
        <w:pStyle w:val="Odstavecseseznamem"/>
        <w:numPr>
          <w:ilvl w:val="0"/>
          <w:numId w:val="22"/>
        </w:numPr>
        <w:spacing w:after="200" w:line="276" w:lineRule="auto"/>
        <w:rPr>
          <w:rFonts w:asciiTheme="minorHAnsi" w:hAnsiTheme="minorHAnsi" w:cstheme="minorHAnsi"/>
        </w:rPr>
      </w:pPr>
      <w:r w:rsidRPr="004950AD">
        <w:rPr>
          <w:rFonts w:asciiTheme="minorHAnsi" w:hAnsiTheme="minorHAnsi" w:cstheme="minorHAnsi"/>
        </w:rPr>
        <w:t>Zadavatel požaduje v rámci výběrového řízení jako součást překládané nabídky dodání úplné technické dokumentace vč. popisu požadovaných funkčních vlastností a technických parametrů, a to formou garantovaných instalačních parametrů výrobcem</w:t>
      </w:r>
      <w:r w:rsidR="00022BAD">
        <w:rPr>
          <w:rFonts w:asciiTheme="minorHAnsi" w:hAnsiTheme="minorHAnsi" w:cstheme="minorHAnsi"/>
        </w:rPr>
        <w:t xml:space="preserve"> (produktové </w:t>
      </w:r>
      <w:proofErr w:type="spellStart"/>
      <w:r w:rsidR="00022BAD">
        <w:rPr>
          <w:rFonts w:asciiTheme="minorHAnsi" w:hAnsiTheme="minorHAnsi" w:cstheme="minorHAnsi"/>
        </w:rPr>
        <w:t>datasheety</w:t>
      </w:r>
      <w:proofErr w:type="spellEnd"/>
      <w:r w:rsidR="00022BAD">
        <w:rPr>
          <w:rFonts w:asciiTheme="minorHAnsi" w:hAnsiTheme="minorHAnsi" w:cstheme="minorHAnsi"/>
        </w:rPr>
        <w:t xml:space="preserve"> apod.)</w:t>
      </w:r>
      <w:r w:rsidRPr="004950AD">
        <w:rPr>
          <w:rFonts w:asciiTheme="minorHAnsi" w:hAnsiTheme="minorHAnsi" w:cstheme="minorHAnsi"/>
        </w:rPr>
        <w:t>.</w:t>
      </w:r>
    </w:p>
    <w:p w:rsidR="004950AD" w:rsidRPr="004950AD" w:rsidRDefault="004950AD" w:rsidP="004950AD">
      <w:pPr>
        <w:pStyle w:val="Odstavecseseznamem"/>
        <w:numPr>
          <w:ilvl w:val="0"/>
          <w:numId w:val="22"/>
        </w:numPr>
        <w:spacing w:line="276" w:lineRule="auto"/>
        <w:rPr>
          <w:rFonts w:asciiTheme="minorHAnsi" w:eastAsia="TimesNewRoman" w:hAnsiTheme="minorHAnsi" w:cstheme="minorHAnsi"/>
        </w:rPr>
      </w:pPr>
      <w:r w:rsidRPr="004950AD">
        <w:rPr>
          <w:rFonts w:asciiTheme="minorHAnsi" w:eastAsia="TimesNewRoman" w:hAnsiTheme="minorHAnsi" w:cstheme="minorHAnsi"/>
        </w:rPr>
        <w:t>Zadavatel požaduje písemnou garanci zajištění servisu, dodávek náhradních dílů a event. spotřebního materiálu minimálně po dobu 10 let od data splnění předmětu zakázky.</w:t>
      </w:r>
    </w:p>
    <w:p w:rsidR="004950AD" w:rsidRPr="004950AD" w:rsidRDefault="004950AD" w:rsidP="004950AD">
      <w:pPr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Zboží - modalita, asociované pracovní stanice a servery resp.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modalita MUSÍ splňovat následující požadavky před uvedením do produkčního provozu: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 názvy nodů budou splňovat jmennou konvenci používanou u KZ, a.s. (např. UL-XUS-RDGALK1), přičemž v případě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nodu AET =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node/modalita bude po nakonfigurování posílat ve své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hlavičce korektně těchto 5 standardních položek: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ID Modality (0008,0060) dle DCS (např. DX pro digitální rentgen)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StationName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(0008,1010) bude odpovídat přidělenému AET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InstitutionName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(0008,0080) bude řetězec ASCII znaků dle požadavků KZ a.s. Minimální počet nastavitelných znaků je 25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InstitutionAddress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(0008,0081) bude řetězec ASCII znaků dle požadavků KZ a.s. Minimální počet nastavitelných znaků je 40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DepartmentName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(0008,1040) bude řetězec ASCII znaků dle požadavků KZ a.s. Minimální počet nastavitelných znaků je 15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kešovací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server.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Prodávající si musí ve spolupráci s odborem informačních technologií (OIT) a OOKC (garanty za síť, AD a PACS) s dostatečným předstihem zajistit: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Fyzické připojení do plánované lokality (síťové zásuvky, propojení na páteřní síť, požadovanou rychlost portu)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Přidělení IP adresy resp. adres,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 AET dle jmenné konvence KZ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musí být shodný s AE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title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Prodávající si musí zajistit konfiguraci na straně PACS a NIS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Vzdálená správa zboží je možná na základě podepsání servisní smlouvy a příslušného dokumentu o přístupu o vzdáleném přístupu do LAN KZ, a.s.</w:t>
      </w:r>
    </w:p>
    <w:p w:rsidR="00CE24D8" w:rsidRDefault="00CE24D8" w:rsidP="004950AD">
      <w:pPr>
        <w:pStyle w:val="Odstavecseseznamem"/>
        <w:ind w:left="0"/>
        <w:rPr>
          <w:rFonts w:asciiTheme="minorHAnsi" w:hAnsiTheme="minorHAnsi" w:cstheme="minorHAnsi"/>
          <w:bCs/>
          <w:u w:val="single"/>
        </w:rPr>
      </w:pPr>
    </w:p>
    <w:p w:rsidR="004950AD" w:rsidRPr="004950AD" w:rsidRDefault="004950AD" w:rsidP="004950AD">
      <w:pPr>
        <w:pStyle w:val="Odstavecseseznamem"/>
        <w:ind w:left="0"/>
        <w:rPr>
          <w:rFonts w:asciiTheme="minorHAnsi" w:hAnsiTheme="minorHAnsi" w:cstheme="minorHAnsi"/>
          <w:bCs/>
          <w:u w:val="single"/>
        </w:rPr>
      </w:pPr>
      <w:r w:rsidRPr="004950AD">
        <w:rPr>
          <w:rFonts w:asciiTheme="minorHAnsi" w:hAnsiTheme="minorHAnsi" w:cstheme="minorHAnsi"/>
          <w:bCs/>
          <w:u w:val="single"/>
        </w:rPr>
        <w:t>Požadavek na úpravu pracovišt</w:t>
      </w:r>
      <w:r w:rsidRPr="004950AD">
        <w:rPr>
          <w:rFonts w:asciiTheme="minorHAnsi" w:eastAsia="TimesNewRoman" w:hAnsiTheme="minorHAnsi" w:cstheme="minorHAnsi"/>
          <w:u w:val="single"/>
        </w:rPr>
        <w:t>ě</w:t>
      </w:r>
      <w:r w:rsidRPr="004950AD">
        <w:rPr>
          <w:rFonts w:asciiTheme="minorHAnsi" w:hAnsiTheme="minorHAnsi" w:cstheme="minorHAnsi"/>
          <w:bCs/>
          <w:u w:val="single"/>
        </w:rPr>
        <w:t>: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Dodavatel v nabídce uvede podmínky pro montáž, instalaci a provoz dodávané zdravotnické techniky, zejména z hlediska přívodu energií, elektrického napětí a proudu, přívodu vody a medicinálních plynů. Dále uvede prostorové a případné dispoziční nároky pro instalaci a provoz přístroje, statické a dynamické zatížení, a podobné údaje.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 rámci optimalizace nákladů spojených s obnovou pracoviště je možné využít stávající instalované technologie či rozvodů energií (pokud uchazeč využije stávající vybavení, budou se na něj vztahovat záruční podmínky jako na zařízení nové, a to v plném rozsahu).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Pracoviště </w:t>
      </w:r>
      <w:r w:rsidR="00A92EBF">
        <w:rPr>
          <w:rFonts w:asciiTheme="minorHAnsi" w:hAnsiTheme="minorHAnsi" w:cstheme="minorHAnsi"/>
          <w:sz w:val="22"/>
          <w:szCs w:val="22"/>
        </w:rPr>
        <w:t xml:space="preserve">vyšetřovny a </w:t>
      </w:r>
      <w:proofErr w:type="spellStart"/>
      <w:r w:rsidR="00A92EBF">
        <w:rPr>
          <w:rFonts w:asciiTheme="minorHAnsi" w:hAnsiTheme="minorHAnsi" w:cstheme="minorHAnsi"/>
          <w:sz w:val="22"/>
          <w:szCs w:val="22"/>
        </w:rPr>
        <w:t>ovladovny</w:t>
      </w:r>
      <w:proofErr w:type="spellEnd"/>
      <w:r w:rsidR="00A92EBF">
        <w:rPr>
          <w:rFonts w:asciiTheme="minorHAnsi" w:hAnsiTheme="minorHAnsi" w:cstheme="minorHAnsi"/>
          <w:sz w:val="22"/>
          <w:szCs w:val="22"/>
        </w:rPr>
        <w:t xml:space="preserve"> </w:t>
      </w:r>
      <w:r w:rsidRPr="004950AD">
        <w:rPr>
          <w:rFonts w:asciiTheme="minorHAnsi" w:hAnsiTheme="minorHAnsi" w:cstheme="minorHAnsi"/>
          <w:sz w:val="22"/>
          <w:szCs w:val="22"/>
        </w:rPr>
        <w:t>musí dodavatel přístroje upravit na své náklady tak, aby svými parametry vyhovovalo požadavkům pro instalaci a provoz nabízeného přístrojového vybavení. Součástí předložené nabídky bude technický výkres osazení přístroje do místnosti a také plán nutných souvisejících úprav pracoviště, včetně jejich podrobného popisu (např. zpracování technologického projektu; provedení statického posouzení; provedení stavebních úprav pro instalaci přístroje a příslušných technologií; dodávka a instalace elektrického rozvaděče včetně silového přívodu napájení přístroje a příslušných technologií, kabelových kanálů a kotvících komponent; dodávka UPS; dodávka a instalace klimatizačních jednotek v případě potřeby zajištění provozních podmínek přístroje a příslušných technologií; a další podobná opatření).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KZ a.s. zajistí vlastní údržbou přívod médií (zejména vody, medicinálních plynů a elektrické energie) až po vstupní armatury, resp. přívod elektrické energie do silových rozvaděčů na pracoviště, tyto vstupní armatury a silové rozvaděče realizuje uchazeč na své náklady. 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KZ a.s. zajistí na své náklady v případě potřeby přístupovou cestu a vstupní otvor pro instalaci zařízení na základě rozměrů a hmotnosti uvedené uchazečem v podané nabídce v této veřejné zakázce.</w:t>
      </w:r>
    </w:p>
    <w:p w:rsidR="00342F31" w:rsidRPr="0072596B" w:rsidRDefault="004950AD" w:rsidP="0072596B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KZ a.s. se zavazuje poskytnout dodavateli součinnost v rozsahu stanoveném v obligatorním návrhu </w:t>
      </w:r>
      <w:r w:rsidR="0072596B">
        <w:rPr>
          <w:rFonts w:asciiTheme="minorHAnsi" w:hAnsiTheme="minorHAnsi" w:cstheme="minorHAnsi"/>
          <w:sz w:val="22"/>
          <w:szCs w:val="22"/>
        </w:rPr>
        <w:t>smlouvy k této veřejné zakázce.</w:t>
      </w:r>
      <w:bookmarkStart w:id="0" w:name="_GoBack"/>
      <w:bookmarkEnd w:id="0"/>
    </w:p>
    <w:sectPr w:rsidR="00342F31" w:rsidRPr="0072596B" w:rsidSect="00660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CAF"/>
    <w:multiLevelType w:val="multilevel"/>
    <w:tmpl w:val="240C5CBC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79B06D4"/>
    <w:multiLevelType w:val="multilevel"/>
    <w:tmpl w:val="4EA46C6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9943283"/>
    <w:multiLevelType w:val="hybridMultilevel"/>
    <w:tmpl w:val="EE4ED8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B029D"/>
    <w:multiLevelType w:val="hybridMultilevel"/>
    <w:tmpl w:val="E5F80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C2205"/>
    <w:multiLevelType w:val="hybridMultilevel"/>
    <w:tmpl w:val="9A24E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E5315"/>
    <w:multiLevelType w:val="hybridMultilevel"/>
    <w:tmpl w:val="04E4E35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C1858"/>
    <w:multiLevelType w:val="multilevel"/>
    <w:tmpl w:val="4D1EE0EA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D64367D"/>
    <w:multiLevelType w:val="multilevel"/>
    <w:tmpl w:val="0BDA1F18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ED46377"/>
    <w:multiLevelType w:val="hybridMultilevel"/>
    <w:tmpl w:val="42E4B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372CC"/>
    <w:multiLevelType w:val="multilevel"/>
    <w:tmpl w:val="7E7E138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2A233839"/>
    <w:multiLevelType w:val="hybridMultilevel"/>
    <w:tmpl w:val="7234BA6A"/>
    <w:lvl w:ilvl="0" w:tplc="9958364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504B9"/>
    <w:multiLevelType w:val="hybridMultilevel"/>
    <w:tmpl w:val="99D2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81F52"/>
    <w:multiLevelType w:val="hybridMultilevel"/>
    <w:tmpl w:val="8E18B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F6F97"/>
    <w:multiLevelType w:val="hybridMultilevel"/>
    <w:tmpl w:val="34EC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C12C2"/>
    <w:multiLevelType w:val="hybridMultilevel"/>
    <w:tmpl w:val="A2B8D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3A67F8"/>
    <w:multiLevelType w:val="hybridMultilevel"/>
    <w:tmpl w:val="B2BA1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43276"/>
    <w:multiLevelType w:val="multilevel"/>
    <w:tmpl w:val="34CCDC8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A3F490C"/>
    <w:multiLevelType w:val="hybridMultilevel"/>
    <w:tmpl w:val="13B43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459BC"/>
    <w:multiLevelType w:val="multilevel"/>
    <w:tmpl w:val="B0D68FA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7EA70ED8"/>
    <w:multiLevelType w:val="hybridMultilevel"/>
    <w:tmpl w:val="04E4E35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6"/>
  </w:num>
  <w:num w:numId="5">
    <w:abstractNumId w:val="14"/>
  </w:num>
  <w:num w:numId="6">
    <w:abstractNumId w:val="17"/>
  </w:num>
  <w:num w:numId="7">
    <w:abstractNumId w:val="9"/>
  </w:num>
  <w:num w:numId="8">
    <w:abstractNumId w:val="5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1"/>
  </w:num>
  <w:num w:numId="15">
    <w:abstractNumId w:val="8"/>
  </w:num>
  <w:num w:numId="16">
    <w:abstractNumId w:val="1"/>
  </w:num>
  <w:num w:numId="17">
    <w:abstractNumId w:val="7"/>
  </w:num>
  <w:num w:numId="18">
    <w:abstractNumId w:val="18"/>
  </w:num>
  <w:num w:numId="19">
    <w:abstractNumId w:val="0"/>
  </w:num>
  <w:num w:numId="20">
    <w:abstractNumId w:val="6"/>
  </w:num>
  <w:num w:numId="21">
    <w:abstractNumId w:val="12"/>
  </w:num>
  <w:num w:numId="22">
    <w:abstractNumId w:val="20"/>
  </w:num>
  <w:num w:numId="23">
    <w:abstractNumId w:val="15"/>
  </w:num>
  <w:num w:numId="24">
    <w:abstractNumId w:val="2"/>
  </w:num>
  <w:num w:numId="25">
    <w:abstractNumId w:val="11"/>
  </w:num>
  <w:num w:numId="26">
    <w:abstractNumId w:val="2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50AD"/>
    <w:rsid w:val="00022BAD"/>
    <w:rsid w:val="00047A81"/>
    <w:rsid w:val="0008742C"/>
    <w:rsid w:val="0010152B"/>
    <w:rsid w:val="00107993"/>
    <w:rsid w:val="00114B8D"/>
    <w:rsid w:val="0013508C"/>
    <w:rsid w:val="00296215"/>
    <w:rsid w:val="002A3F16"/>
    <w:rsid w:val="00342F31"/>
    <w:rsid w:val="003B11F0"/>
    <w:rsid w:val="00457BFE"/>
    <w:rsid w:val="004950AD"/>
    <w:rsid w:val="005F2269"/>
    <w:rsid w:val="005F57B3"/>
    <w:rsid w:val="006139FB"/>
    <w:rsid w:val="006601E5"/>
    <w:rsid w:val="006835E1"/>
    <w:rsid w:val="0072596B"/>
    <w:rsid w:val="00794B49"/>
    <w:rsid w:val="007C6E0D"/>
    <w:rsid w:val="00803CD5"/>
    <w:rsid w:val="008174CE"/>
    <w:rsid w:val="00890841"/>
    <w:rsid w:val="00A91225"/>
    <w:rsid w:val="00A92EBF"/>
    <w:rsid w:val="00B02D9A"/>
    <w:rsid w:val="00B27931"/>
    <w:rsid w:val="00BD22D0"/>
    <w:rsid w:val="00C76FDD"/>
    <w:rsid w:val="00CA13EF"/>
    <w:rsid w:val="00CE24D8"/>
    <w:rsid w:val="00D8518B"/>
    <w:rsid w:val="00DA546B"/>
    <w:rsid w:val="00DB3C53"/>
    <w:rsid w:val="00E90D60"/>
    <w:rsid w:val="00F1221A"/>
    <w:rsid w:val="00FB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E4E94-48D0-429A-A7B9-6E7600F4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950AD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4950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950AD"/>
    <w:pPr>
      <w:ind w:left="714" w:hanging="357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4950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950AD"/>
    <w:rPr>
      <w:rFonts w:ascii="Calibri" w:eastAsia="Calibri" w:hAnsi="Calibri" w:cs="Times New Roman"/>
    </w:rPr>
  </w:style>
  <w:style w:type="numbering" w:customStyle="1" w:styleId="WWNum2">
    <w:name w:val="WWNum2"/>
    <w:basedOn w:val="Bezseznamu"/>
    <w:rsid w:val="004950AD"/>
    <w:pPr>
      <w:numPr>
        <w:numId w:val="13"/>
      </w:numPr>
    </w:pPr>
  </w:style>
  <w:style w:type="numbering" w:customStyle="1" w:styleId="WWNum4">
    <w:name w:val="WWNum4"/>
    <w:basedOn w:val="Bezseznamu"/>
    <w:rsid w:val="004950AD"/>
    <w:pPr>
      <w:numPr>
        <w:numId w:val="14"/>
      </w:numPr>
    </w:pPr>
  </w:style>
  <w:style w:type="numbering" w:customStyle="1" w:styleId="WWNum9">
    <w:name w:val="WWNum9"/>
    <w:basedOn w:val="Bezseznamu"/>
    <w:rsid w:val="004950AD"/>
    <w:pPr>
      <w:numPr>
        <w:numId w:val="15"/>
      </w:numPr>
    </w:pPr>
  </w:style>
  <w:style w:type="numbering" w:customStyle="1" w:styleId="WWNum11">
    <w:name w:val="WWNum11"/>
    <w:basedOn w:val="Bezseznamu"/>
    <w:rsid w:val="004950AD"/>
    <w:pPr>
      <w:numPr>
        <w:numId w:val="16"/>
      </w:numPr>
    </w:pPr>
  </w:style>
  <w:style w:type="numbering" w:customStyle="1" w:styleId="WWNum13">
    <w:name w:val="WWNum13"/>
    <w:basedOn w:val="Bezseznamu"/>
    <w:rsid w:val="004950AD"/>
    <w:pPr>
      <w:numPr>
        <w:numId w:val="17"/>
      </w:numPr>
    </w:pPr>
  </w:style>
  <w:style w:type="numbering" w:customStyle="1" w:styleId="WWNum15">
    <w:name w:val="WWNum15"/>
    <w:basedOn w:val="Bezseznamu"/>
    <w:rsid w:val="004950AD"/>
    <w:pPr>
      <w:numPr>
        <w:numId w:val="18"/>
      </w:numPr>
    </w:pPr>
  </w:style>
  <w:style w:type="numbering" w:customStyle="1" w:styleId="WWNum17">
    <w:name w:val="WWNum17"/>
    <w:basedOn w:val="Bezseznamu"/>
    <w:rsid w:val="004950A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1559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 Radek</dc:creator>
  <cp:lastModifiedBy>Sedlák Marek</cp:lastModifiedBy>
  <cp:revision>11</cp:revision>
  <dcterms:created xsi:type="dcterms:W3CDTF">2018-02-15T06:52:00Z</dcterms:created>
  <dcterms:modified xsi:type="dcterms:W3CDTF">2018-03-07T11:51:00Z</dcterms:modified>
</cp:coreProperties>
</file>